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PIANOVERSE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Document 10: Deployment Architecture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June 2025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Deployment Overview</w:t>
      </w:r>
    </w:p>
    <w:p>
      <w:pPr>
        <w:spacing w:after="120"/>
      </w:pPr>
      <w:r>
        <w:t xml:space="preserve">PIANOVERSE AI is deployed on Amazon Web Services (AWS) as the primary cloud provider. The deployment architecture is container-based (Docker on Kubernetes/EKS), multi-availability-zone for high availability, and multi-region in Phase 3 (US-East-1 primary, EU-West-1 secondary, AP-Southeast-1 tertiary). All infrastructure is defined as code using Terraform, with environment promotion through CI/CD pipelines.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Infrastructure Overview</w:t>
      </w:r>
    </w:p>
    <w:p>
      <w:pPr>
        <w:pStyle w:val="Heading2"/>
      </w:pPr>
      <w:r>
        <w:rPr>
          <w:b/>
          <w:bCs/>
        </w:rPr>
        <w:t xml:space="preserve">2.1 AWS Regions and Availability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AZs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us-east-1 (N. Virginia)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region — all services, databases, AI compute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us-east-1a, us-east-1b, us-east-1c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eu-west-1 (Ireland)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 data residency — primary for EU users; GDPR compliance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eu-west-1a, eu-west-1b, eu-west-1c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ap-southeast-1 (Singapore)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 edge — reduced latency for Asia-Pacific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ap-southeast-1a, ap-southeast-1b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VPC and Network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Subnet / Layer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CIDR</w:t>
            </w:r>
          </w:p>
        </w:tc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Subnet (AZ-a/b/c)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10.0.0.0/22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ALB, NAT Gateway, Bastion Host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Internet-accessible via IGW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Subnet — App (AZ-a/b/c)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10.0.4.0/22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Worker Nodes (application services)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Outbound via NAT; no inbound from internet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Subnet — AI (AZ-a/b)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10.0.8.0/23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EC2 instances (AI inference workers)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only; no internet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Subnet — Data (AZ-a/b/c)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10.0.10.0/23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RDS PostgreSQL, ElastiCache Redis, DocumentDB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only; accessible by App subnet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Subnet —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10.0.12.0/24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 runners, monitoring stack, bastion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+ VPN access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Compute Infrastructure</w:t>
      </w:r>
    </w:p>
    <w:p>
      <w:pPr>
        <w:pStyle w:val="Heading2"/>
      </w:pPr>
      <w:r>
        <w:rPr>
          <w:b/>
          <w:bCs/>
        </w:rPr>
        <w:t xml:space="preserve">3.1 EKS Kubernetes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Node Group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Instance Type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Min/Max Nodes</w:t>
            </w:r>
          </w:p>
        </w:tc>
        <w:tc>
          <w:tcPr>
            <w:tcW w:type="dxa" w:w="3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Workloads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general-app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m5.xlarge (4 vCPU, 16 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/ 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microservices: Identity, User, Learning, Streaming, Gamification, Commerce,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api-gateway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c5.xlarge (4 vCPU, 8 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/ 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 service, load balancer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ai-cpu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c5.2xlarge (8 vCPU, 16 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/ 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Teacher, Chord Generator, Harmony Assistant, Sheet Generator, Hum-to-MIDI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ai-gpu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g4dn.xlarge (T4 GPU, 16 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/ 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Composer, Voice-to-Piano, Voice Assistant LLM inference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data-workers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m5.large (2 vCPU, 8 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/ 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RabbitMQ consumers, Kafka consumers, notification workers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Kubernetes Namespaces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Namespace</w:t>
            </w:r>
          </w:p>
        </w:tc>
        <w:tc>
          <w:tcPr>
            <w:tcW w:type="dxa" w:w="4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Services</w:t>
            </w:r>
          </w:p>
        </w:tc>
        <w:tc>
          <w:tcPr>
            <w:tcW w:type="dxa" w:w="3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Resource Limits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pianoverse-core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identity-svc, user-svc, learning-svc, streaming-svc, gamification-svc, commerce-svc, notification-svc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CPU: 40 cores, Memory: 80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pianoverse-piano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piano-svc, composition-svc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CPU: 16 cores, Memory: 32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pianoverse-ai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ai-teacher, ai-composer, hum-to-midi, voice-to-piano, sheet-gen, recommendation-svc, voice-assistant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CPU: 32 cores, GPU: 8, Memory: 128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pianoverse-infra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api-gateway, job-workers, event-consumers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CPU: 12 cores, Memory: 24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Prometheus, Grafana, Jaeger, Alertmanager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CPU: 8 cores, Memory: 16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ingress-nginx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NGINX Ingress Controller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CPU: 4 cores, Memory: 8 GB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Database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26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Instance</w:t>
            </w:r>
          </w:p>
        </w:tc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  <w:tc>
          <w:tcPr>
            <w:tcW w:type="dxa" w:w="1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Backup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db.r6g.2xlarge (8 vCPU, 64 GB)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Multi-AZ; 1 primary + 2 read replicas; 500 GB SSD (gp3)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daily; 30-day retention; PITR enabled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Atlas (M30)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3-node replica set; 8 vCPU, 32 GB/node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Atlas managed; vpc peering to AWS VPC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Atlas continuous backup; 7-day snapshots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ElastiCache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cache.r6g.xlarge (4 vCPU, 26 GB) × 3 nodes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Cluster mode; 3 shards × 1 replica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AOF persistence + daily RDB snapshots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OpenSearch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r6g.2xlarge.search (8 vCPU, 64 GB) × 3 nodes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3-node cluster; dedicated master nodes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daily snapshots to S3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Object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+ Intelligent-Tiering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Versioning enabled; Cross-region replication to eu-west-1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versioning; 90-day lifecycle to IA; 1-year to Glacier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Networking and CDN</w:t>
      </w:r>
    </w:p>
    <w:p>
      <w:pPr>
        <w:pStyle w:val="Heading2"/>
      </w:pPr>
      <w:r>
        <w:rPr>
          <w:b/>
          <w:bCs/>
        </w:rPr>
        <w:t xml:space="preserve">5.1 Traffic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browser/app → HTTPS request → CloudFront CDN edge (nearest POP).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Static assets (HTML, JS, CSS, images): served directly from CloudFront edge cache.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requests: CloudFront forwards to origin → AWS WAF → Application Load Balancer.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ALB → routes to NGINX Ingress Controller in EKS → routes to correct microservice pod.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WebSocket connections (AI Teacher, notifications): upgraded at ALB; routed to Piano Service pods.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Media streams (HLS audio/video): CloudFront signed URLs; origin is S3 bucket (private).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CloudFront Distribution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Origin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Cache Behavior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TTL</w:t>
            </w:r>
          </w:p>
        </w:tc>
        <w:tc>
          <w:tcPr>
            <w:tcW w:type="dxa" w:w="2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(static assets)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/static/*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31536000s (1 year)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SPA assets; immutable with hash in filename.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(media)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/audio/*, /midi/*, /pdf/*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86400s (1 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streams, MIDI, PDFs. Signed URLs for access control.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ALB (API)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0s (no cache)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API requests bypass CDN cache; forward to ALB.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(avatars/images)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/images/*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3600s (1 hour)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avatars and course thumbnails.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Message Queue &amp; Event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Deployment</w:t>
            </w:r>
          </w:p>
        </w:tc>
        <w:tc>
          <w:tcPr>
            <w:tcW w:type="dxa" w:w="1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Sizing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RabbitMQ 3.12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job queue (high/medium/low priority queues). Ensures job delivery and retry.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3-node RabbitMQ cluster on EC2 (m5.large); mirrored queues.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× m5.large; 50 GB EBS each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Kafka 3.5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event streaming: user events, XP awards, play events, analytics.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MSK (Managed Streaming for Kafka); 3 brokers.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× kafka.m5.xlarge; 1 TB EBS each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Pub/Sub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AI Teacher feedback channel; low-latency session-scoped messaging.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Reuses ElastiCache Redis cluster.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with main Redis cluster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Infrastructure</w:t>
            </w:r>
          </w:p>
        </w:tc>
        <w:tc>
          <w:tcPr>
            <w:tcW w:type="dxa" w:w="2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Policy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 (dev)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 local/remote dev and integration testing.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Compose (local) or single-AZ lite EKS namespace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Synthetic data only; no production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Pre-production validation; full E2E testing; QA signoff.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EKS cluster; single-AZ; production-sized dbs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Anonymized production data snapshot; refreshed weekly.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platform serving real users.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multi-AZ EKS; Multi-AZ RDS; Atlas M30; full stack.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user data; full compliance.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Gradual production rollout; 5–10% traffic for new deployments.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Kubernetes deployment within production cluster.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data; real traffic subset.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RPO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RTO</w:t>
            </w:r>
          </w:p>
        </w:tc>
        <w:tc>
          <w:tcPr>
            <w:tcW w:type="dxa" w:w="4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Recovery Procedure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AZ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(real-time replication)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minutes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EKS auto-reschedules pods to healthy AZs. RDS Multi-AZ automatic failover.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region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hour (replication lag)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4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 read replica in DR region. Update DNS to DR endpoint. Restore from S3 cross-region copy.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corruption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hour (PITR)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 RDS from PITR. Validate data integrity. Resume traffic.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Ransomware / data breach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24 hours (last clean backup)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8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Isolate affected systems. Restore from verified clean backup. Security review before re-enabling.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 cluster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(stateless services)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30 minutes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 re-provision EKS cluster. ArgoCD re-deploys all applications from Git state.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37E" w:sz="6" w:space="1"/>
      </w:pBdr>
      <w:jc w:val="center"/>
    </w:pPr>
    <w:r>
      <w:rPr>
        <w:color w:val="666666"/>
        <w:sz w:val="18"/>
        <w:szCs w:val="18"/>
      </w:rPr>
      <w:t xml:space="preserve">Document 10 | PIANOVERSE AI | Confidential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1"/>
      </w:pBdr>
    </w:pPr>
    <w:r>
      <w:rPr>
        <w:rFonts w:ascii="Arial" w:cs="Arial" w:eastAsia="Arial" w:hAnsi="Arial"/>
        <w:b/>
        <w:bCs/>
        <w:color w:val="1A237E"/>
        <w:sz w:val="20"/>
        <w:szCs w:val="20"/>
      </w:rPr>
      <w:t xml:space="preserve">PIANOVERSE AI — Deployment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3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2026-06-10T04:02:06.526Z</dcterms:created>
  <dcterms:modified xsi:type="dcterms:W3CDTF">2026-06-10T04:02:06.527Z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