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880E4F"/>
          <w:sz w:val="72"/>
          <w:szCs w:val="72"/>
        </w:rPr>
        <w:t xml:space="preserve">PIANOVERSE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Document 11: Security Architecture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June 2025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Security Architecture Overview</w:t>
      </w:r>
    </w:p>
    <w:p>
      <w:pPr>
        <w:spacing w:after="120"/>
      </w:pPr>
      <w:r>
        <w:t xml:space="preserve">PIANOVERSE AI implements a defense-in-depth security model with controls at every architectural layer: network perimeter, application gateway, service-to-service communication, data storage, and client applications. Security is treated as a first-class architectural concern, not an afterthought. The platform is designed to meet GDPR, CCPA, PCI DSS Level 1 (via Stripe), SOC 2 Type II, and OWASP Top 10 requirements.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Security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Trust: No implicit trust between services; every service-to-service call authenticated and authorized.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Least Privilege: Every component (human, service, IAM role) has only the minimum permissions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Defense in Depth: Multiple overlapping security controls; no single point of failure.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 by Default: New features must explicitly enable access; default is denied.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 by Design: Data minimization; user data processed only for stated purposes; audio deleted post-processing.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as Code: All security controls defined in code (IaC, policy-as-code); reviewed in pull requests.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Network Security</w:t>
      </w:r>
    </w:p>
    <w:p>
      <w:pPr>
        <w:pStyle w:val="Heading2"/>
      </w:pPr>
      <w:r>
        <w:rPr>
          <w:b/>
          <w:bCs/>
        </w:rPr>
        <w:t xml:space="preserve">3.1 Perimeter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W w:type="dxa" w:w="22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Tool/Service</w:t>
            </w:r>
          </w:p>
        </w:tc>
        <w:tc>
          <w:tcPr>
            <w:tcW w:type="dxa" w:w="35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DNS / DDoS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DDoS protection and DNS-level filtering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Shield Advanced + Route 53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Shield Advanced on all CloudFront distributions and ALBs. Automatic DDoS mitigation.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 / WAF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Application Firewall — OWASP rule 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WAF on CloudFront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Managed rule group: Core rule set (CRS), SQL injection, XSS, Known bad inputs. Custom rules for rate limiting.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Balancer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 termination; connection draining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ALB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 1.3 only; TLS 1.0/1.1 disabled. Security policy: ELBSecurityPolicy-TLS13-1-2-2021-06.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validation; auth enforcement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NestJS API Gateway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validation on all protected routes; RBAC checks; request schema validation.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isolation; traffic segmentation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VPC + Security Groups + NACLs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public IP on app/data layer instances. All inter-service traffic via private IPs.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3.2 Security Group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Security Group</w:t>
            </w:r>
          </w:p>
        </w:tc>
        <w:tc>
          <w:tcPr>
            <w:tcW w:type="dxa" w:w="36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Inbound Rules</w:t>
            </w:r>
          </w:p>
        </w:tc>
        <w:tc>
          <w:tcPr>
            <w:tcW w:type="dxa" w:w="35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Outbound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sg-alb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0.0.0.0/0:443 (HTTPS), 0.0.0.0/0:80 (redirect to HTTPS)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app-subnet:8080 (API), app-subnet:443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sg-app-nodes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sg-alb:8080 (from ALB)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sg-data:5432, sg-data:6379, sg-data:9200, 0.0.0.0/0:443 (outbound HTTPS via NAT)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sg-ai-workers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sg-app-nodes:50051 (gRPC)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0.0.0.0/0:443 (model downloads via NAT), sg-data:5432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sg-rds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sg-app-nodes:5432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(no outbound)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sg-redis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sg-app-nodes:6379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sg-kafka-msk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sg-app-nodes:9092 (plaintext internal), sg-app-nodes:9094 (TLS)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Authentication Architecture</w:t>
      </w:r>
    </w:p>
    <w:p>
      <w:pPr>
        <w:pStyle w:val="Heading2"/>
      </w:pPr>
      <w:r>
        <w:rPr>
          <w:b/>
          <w:bCs/>
        </w:rPr>
        <w:t xml:space="preserve">4.1 JWT Token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 Type</w:t>
            </w:r>
          </w:p>
        </w:tc>
        <w:tc>
          <w:tcPr>
            <w:tcW w:type="dxa" w:w="16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Expiry</w:t>
            </w:r>
          </w:p>
        </w:tc>
        <w:tc>
          <w:tcPr>
            <w:tcW w:type="dxa" w:w="24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Storage</w:t>
            </w:r>
          </w:p>
        </w:tc>
        <w:tc>
          <w:tcPr>
            <w:tcW w:type="dxa" w:w="21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Claims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RS256 (RSA 2048-bit)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(client-side); never localStorage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 (user_id), role, subscription_plan, iat, exp, jti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Opaque (SHA-256 hash)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HTTP-only Secure SameSite=Strict cookie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Stored as hash in DB; includes device fingerprint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HS256 (session-scoped)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(used immediately)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sub, session_id, purpose=ws, exp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Job 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HS256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Returned in job creation response; used for result retrieval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sub, job_id, purpose=job_result, exp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4.2 Key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RSA key pair for JWT RS256 signing: 2048-bit keys. Public key exposed at /.well-known/jwks.json for external verification.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Keys stored in AWS Secrets Manager; rotated every 90 days with 0-downtime rotation (both keys valid during transition period).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Symmetric keys (HS256) generated per-environment; stored in AWS Secrets Manager.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encryption keys managed via AWS KMS with automatic yearly rotation.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secrets in environment variables in code repositories; all secrets injected at runtime from AWS Secrets Manager via Kubernetes Secrets Store CSI Driver.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4.3 Multi-Factor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MFA Type</w:t>
            </w:r>
          </w:p>
        </w:tc>
        <w:tc>
          <w:tcPr>
            <w:tcW w:type="dxa" w:w="20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Standard</w:t>
            </w:r>
          </w:p>
        </w:tc>
        <w:tc>
          <w:tcPr>
            <w:tcW w:type="dxa" w:w="34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  <w:tc>
          <w:tcPr>
            <w:tcW w:type="dxa" w:w="19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TOTP (Authenticator App)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 6238 (TOTP)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server-side TOTP verification; 30-second window; ±1 period tolerance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Admin/Super Admin; optional others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 OTP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6-digit numeric OTP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Twilio SMS API; 10-minute expiry; single-use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for TOTP; not available in all regions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Codes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× 8-character alphanumeric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 at MFA setup; SHA-256 hashed in DB; single-use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Emergency recovery only; invalidated after use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Authorization Architecture</w:t>
      </w:r>
    </w:p>
    <w:p>
      <w:pPr>
        <w:pStyle w:val="Heading2"/>
      </w:pPr>
      <w:r>
        <w:rPr>
          <w:b/>
          <w:bCs/>
        </w:rPr>
        <w:t xml:space="preserve">5.1 Role-Based Access Control (RBAC)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46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46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Permissions</w:t>
            </w:r>
          </w:p>
        </w:tc>
        <w:tc>
          <w:tcPr>
            <w:tcW w:type="dxa" w:w="12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public landing pages; demo Virtual Piano (limited)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Unauthenticated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features with limits: basic courses, basic streaming, basic virtual piano, 5 AI generations/month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Free + full courses, offline listening, 30 AI gens/month, basic AI teacher post-session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Starter + AI Teacher real-time, Hum-to-MIDI, Composition Studio, AI Composer, 100 AI gens/month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Pro + Voice-to-Piano, advanced AI analytics, unlimited AI gens, priority processing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Educator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Pro features + class management, student progress dashboards, bulk assignment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Paid (multi-seat)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management: user admin, course publishing, catalog management, analytics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 Admin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system access: role management, system configuration, security settings, all Admin permissions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5.2 Feature Gate Matrix</w:t>
      </w:r>
    </w:p>
    <w:tbl>
      <w:tblPr>
        <w:tblW w:type="dxa" w:w="7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60"/>
        <w:gridCol w:w="960"/>
        <w:gridCol w:w="960"/>
        <w:gridCol w:w="960"/>
        <w:gridCol w:w="1200"/>
      </w:tblGrid>
      <w:tr>
        <w:trPr>
          <w:tblHeader/>
        </w:trPr>
        <w:tc>
          <w:tcPr>
            <w:tcW w:type="dxa" w:w="28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9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Free</w:t>
            </w:r>
          </w:p>
        </w:tc>
        <w:tc>
          <w:tcPr>
            <w:tcW w:type="dxa" w:w="9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Starter</w:t>
            </w:r>
          </w:p>
        </w:tc>
        <w:tc>
          <w:tcPr>
            <w:tcW w:type="dxa" w:w="9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</w:t>
            </w:r>
          </w:p>
        </w:tc>
        <w:tc>
          <w:tcPr>
            <w:tcW w:type="dxa" w:w="9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Master</w:t>
            </w:r>
          </w:p>
        </w:tc>
        <w:tc>
          <w:tcPr>
            <w:tcW w:type="dxa" w:w="12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Educator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Virtual Piano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Courses (first module only)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Courses (full access)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 Streaming (128kbps)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 Streaming (320kbps)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 Download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Teacher (post-session only)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Teacher (real-time)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Composition Studio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Hum-to-MIDI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Voice-to-Piano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Composer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Sheet Generator (watermarked)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Sheet Generator (clean PDF)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Management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Streak Freeze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✗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Data Security</w:t>
      </w:r>
    </w:p>
    <w:p>
      <w:pPr>
        <w:pStyle w:val="Heading2"/>
      </w:pPr>
      <w:r>
        <w:rPr>
          <w:b/>
          <w:bCs/>
        </w:rPr>
        <w:t xml:space="preserve">6.1 Encryption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 Rest</w:t>
            </w:r>
          </w:p>
        </w:tc>
        <w:tc>
          <w:tcPr>
            <w:tcW w:type="dxa" w:w="18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 Transit</w:t>
            </w:r>
          </w:p>
        </w:tc>
        <w:tc>
          <w:tcPr>
            <w:tcW w:type="dxa" w:w="31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passwords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bcrypt (cost factor 12); never stored in plaintext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 (not transmitted after hashing)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is the key; no key needed for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data (PostgreSQL)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AES-256 via AWS RDS encryption (AWS KMS CMK)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 1.3 (client ↔ RDS, service ↔ RDS)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KMS Customer Managed Key; yearly rotation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AES-256 (MongoDB Atlas encryption at rest)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 1.3 (Atlas managed)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Atlas KMS integration with AWS KMS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objects (all)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AES-256-S3 (SSE-S3) or SSE-KMS for sensitive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 only (S3 bucket policy enforces)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SSE-KMS for user compositions and practice logs; SSE-S3 for 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tokens (stored)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AES-256-GCM application-level encryption before DB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 1.3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 key in AWS Secrets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ElastiCache at-rest encryption (AWS KMS)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 1.3 (transit encryption enabled)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KMS CMK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MIDI practice 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AES-256 via RDS/S3 encryption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TLS 1.3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KMS key as user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payment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Never stored on PIANOVERSE servers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Stripe.js (direct to Stripe)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PCI DSS compliance via Stripe (SAQ-A)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6.2 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8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27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Restricted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Highly sensitive personal or financial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 methods, OAuth tokens, hashed passwords, MFA secrets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Encrypted at rest + in transit; access audited; minimal retention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Personal user data requiring protection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profile data, practice history, compositions, audio recordings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Encrypted at rest; access controlled by RBAC; GDPR consent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operational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Anonymized analytics, aggregated metrics, system logs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 restricted to staff; not shared externally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Intentionally public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Music catalog metadata, published course titles, public artist profiles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encryption requirement; CDN-served; no PII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Application Security</w:t>
      </w:r>
    </w:p>
    <w:p>
      <w:pPr>
        <w:pStyle w:val="Heading2"/>
      </w:pPr>
      <w:r>
        <w:rPr>
          <w:b/>
          <w:bCs/>
        </w:rPr>
        <w:t xml:space="preserve">7.1 OWASP Top 10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OWASP Risk</w:t>
            </w:r>
          </w:p>
        </w:tc>
        <w:tc>
          <w:tcPr>
            <w:tcW w:type="dxa" w:w="69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A01: Broken Access 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RBAC enforced server-side on every endpoint. Feature gate checks in middleware. Row-level security in PostgreSQL for multi-tenant data. Unit tests for every authorization rule.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A02: Cryptographic Failures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weak algorithms (MD5, SHA-1, DES). JWT RS256. Bcrypt for passwords. AES-256 for stored sensitive data. TLS 1.3 for all transport.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A03: Injection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database queries use parameterized queries / ORM (TypeORM / Prisma). Input sanitization on all user inputs. No dynamic query construction.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A04: Insecure 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Threat modeling conducted for all features. Security design review required for AI feature data flows. Privacy impact assessments for audio features.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A05: Security Misconfiguration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IaC (Terraform) with CIS benchmark compliance checks. AWS Config rules for drift detection. No default credentials. Security headers on all responses.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A06: Vulnerable Components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Snyk SCA in CI/CD pipeline. Auto-PR for security patches. No HIGH/CRITICAL CVEs in production. Monthly dependency audit.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A07: Auth &amp; Session Failures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short-lived (15 min). Refresh token rotation. Account lockout. MFA for admins. Secure cookie flags. PKCE for OAuth.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A08: Software &amp; Data Integrity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Signed Docker images. Git commit signing required. SLSA Level 2 supply chain security. Webhook signature verification.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A09: Logging &amp; Monitoring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auth events, data access, and admin actions logged to immutable log store. Alerting on anomalies. CloudTrail for AWS API audit.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A10: SSRF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outbound HTTP from services whitelisted. No user-controlled URLs for server-side fetch without allowlist validation. AI job outputs validated before processing.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7.2 Security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Header</w:t>
            </w:r>
          </w:p>
        </w:tc>
        <w:tc>
          <w:tcPr>
            <w:tcW w:type="dxa" w:w="34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Strict-Transport-Security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max-age=31536000; includeSubDomains; preload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HTTPS; prevent downgrade attacks.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Content-Security-Policy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default-src 'self'; script-src 'self' cdn.pianoverse.ai; connect-src 'self' wss://api.pianoverse.ai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 XSS; restrict resource origins.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X-Content-Type-Options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nosniff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 MIME type sniffing.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X-Frame-Options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 clickjacking attacks.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Referrer-Policy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strict-origin-when-cross-origin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 referrer information leakage.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Permissions-Policy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microphone=(self), camera=(), geolocation=()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Restrict browser API access to required origins only.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GDPR &amp; Privacy Architecture</w:t>
      </w:r>
    </w:p>
    <w:p>
      <w:pPr>
        <w:pStyle w:val="Heading2"/>
      </w:pPr>
      <w:r>
        <w:rPr>
          <w:b/>
          <w:bCs/>
        </w:rPr>
        <w:t xml:space="preserve">8.1 Data Subject Rights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Right</w:t>
            </w:r>
          </w:p>
        </w:tc>
        <w:tc>
          <w:tcPr>
            <w:tcW w:type="dxa" w:w="40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  <w:tc>
          <w:tcPr>
            <w:tcW w:type="dxa" w:w="29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to Access (Art. 15)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/users/me returns full profile. GET /users/me/data-export returns complete data archive.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Access: immediate. Full export: 24 hours.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to Erasure (Art. 17)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/users/me initiates 30-day soft delete, then hard delete via scheduled job. Audio recordings deleted immediately.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delete: immediate. Hard delete: 30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to Rectification (Art. 16)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/users/me allows update of all personal data fields.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to Portability (Art. 20)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export includes: profile (JSON), practice history (CSV), compositions (MIDI/JSON), subscription history (CSV).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Within 24 hours of request.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Right to Object (Art. 21)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Opt-out of recommendation AI processing via privacy settings. Opt-out of analytics data collection.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 takes effect within 24 hours.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Consent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Explicit consent gates: audio storage for AI training, marketing emails, analytics. Granular per-purpose consent.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Consent recorded with timestamp; auditable.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8.2 Data Retention 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6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Retention Period</w:t>
            </w:r>
          </w:p>
        </w:tc>
        <w:tc>
          <w:tcPr>
            <w:tcW w:type="dxa" w:w="43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Deletion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account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Until deletion request + 30 days (recovery window)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delete → scheduled hard 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Practice session logs (MIDI)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days from session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S3 lifecycle expiration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recordings (opt-in 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days from consent, or until consent withdrawn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deletion on consent withdrawal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 audit 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log rotation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Subscription/billing records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years (legal/tax requirement)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Archived to cold storage; not deleted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records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database cleanup job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job artifacts (temp)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hours after download / 7 days max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lifecycle expiration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Deleted account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days from deletion request (recovery)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delete after 30-day window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9. Security Operations</w:t>
      </w:r>
    </w:p>
    <w:p>
      <w:pPr>
        <w:pStyle w:val="Heading2"/>
      </w:pPr>
      <w:r>
        <w:rPr>
          <w:b/>
          <w:bCs/>
        </w:rPr>
        <w:t xml:space="preserve">9.1 Security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Alert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GuardDuty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Threat detection: malware, credential compromise, unusual API calls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HIGH/CRITICAL findings → PagerDuty alert (P1)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CloudTrail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log: all AWS API calls; admin 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Unusual IAM activity →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SIEM (Elasticsearch + Kibana)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security event correlation: failed logins, rate limit hits, authorization failures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100+ failed logins/min globally → alert; 10+ from single IP → temp block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Snyk (SCA/SAST)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vulnerability scanning; static code analysis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CVE → block deployment; High CVE → alert + 7-day fix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Inspector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EC2 + ECR container image vulnerability scanning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findings →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Datadog APM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Anomaly detection on API error rates; latency spikes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5xx error rate &gt;1% → alert; latency P95 &gt;2s → alert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9.2 Incident Response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16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Response Time</w:t>
            </w:r>
          </w:p>
        </w:tc>
        <w:tc>
          <w:tcPr>
            <w:tcW w:type="dxa" w:w="41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Procedure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— 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breach, complete outage, active exploitation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 acknowledge; 1 hour contain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Immediate war room. Isolate affected systems. Notify CISO. Legal review. User notification within 72 hrs if PII affected (GDPR Art. 33).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 — 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Significant security vulnerability, partial service outage, auth bypass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hour acknowledge; 4 hour contain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team + engineering lead. Incident ticket. Patch within 24 hours.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 — 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Non-critical vulnerability, single-user data issue, elevated error rates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hour acknowledge; 24 hour resolve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engineer assigned. Fix within 7 days. Post-incident review.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P4 — 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security improvement, informational finding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 hour acknowledge; scheduled fix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Added to security backlog. Fixed within 30 days.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9.3 Penetration Testing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  <w:tc>
          <w:tcPr>
            <w:tcW w:type="dxa" w:w="280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2760"/>
            <w:tcBorders>
              <w:top w:val="single" w:color="880E4F" w:sz="1"/>
              <w:left w:val="single" w:color="880E4F" w:sz="1"/>
              <w:bottom w:val="single" w:color="880E4F" w:sz="1"/>
              <w:right w:val="single" w:color="880E4F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Provider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Penetration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app, API, mobile apps, authentication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Third-party certified penetration testing firm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Network Pen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Semi-annually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VPC, internal services, lateral movement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Third-party or internal security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System Security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Semi-annually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security, prompt injection, output validation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Specialized AI security firm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 Bounty Program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app, API (defined scope)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HackerOne platform; $100–$10,000 rewards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0E4F" w:sz="6" w:space="1"/>
      </w:pBdr>
      <w:jc w:val="center"/>
    </w:pPr>
    <w:r>
      <w:rPr>
        <w:color w:val="666666"/>
        <w:sz w:val="18"/>
        <w:szCs w:val="18"/>
      </w:rPr>
      <w:t xml:space="preserve">Document 11 | PIANOVERSE AI | Confidential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0E4F" w:sz="6" w:space="1"/>
      </w:pBdr>
    </w:pPr>
    <w:r>
      <w:rPr>
        <w:rFonts w:ascii="Arial" w:cs="Arial" w:eastAsia="Arial" w:hAnsi="Arial"/>
        <w:b/>
        <w:bCs/>
        <w:color w:val="880E4F"/>
        <w:sz w:val="20"/>
        <w:szCs w:val="20"/>
      </w:rPr>
      <w:t xml:space="preserve">PIANOVERSE AI — Security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880E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880E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880E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2026-06-10T04:02:06.556Z</dcterms:created>
  <dcterms:modified xsi:type="dcterms:W3CDTF">2026-06-10T04:02:06.556Z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