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“&lt;chặng&gt;: &lt;chi tiết&gt;” — chặng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Chặng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w:t>
            </w:r>
          </w:p>
        </w:tc>
        <w:tc>
          <w:tcPr>
            <w:tcW w:type="dxa" w:w="2160"/>
          </w:tcPr>
          <w:p>
            <w:r>
              <w:rPr>
                <w:sz w:val="19"/>
              </w:rPr>
              <w:t>Dùng tên chuẩn trong glossary.</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