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20/10/2026.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“&lt;nhóm&gt;: &lt;chi tiết&gt;” — nhóm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Nhóm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bản tin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HTTP chunked,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 chỉ để thấy một giao thức theo dòng có thật, HTTP học ở các chương sau.</w:t>
      </w:r>
    </w:p>
    <w:p>
      <w:pPr>
        <w:spacing w:after="40"/>
      </w:pPr>
      <w:r>
        <w:rPr>
          <w:b/>
        </w:rPr>
        <w:t xml:space="preserve">Mã / demo: </w:t>
      </w:r>
      <w:r>
        <w:t>Công cụ NetCat (bản Java cung cấp sẵn, chạy trên mọi hệ điều hành) ở hai terminal: một bên lắng nghe ở 127.0.0.1:9199, bên kia gửi các dòng theo đặc tả, kể cả dòng rỗng và dòng quá dài; curl -v https://example.com in một trao đổi HTTP/1.1.</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bài toán ứng dụng cuối Chương 1, giao thức tra cứu được thử bằng NetCat: công cụ tự mở port, chờ và thiết lập kết nối.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đánh số, ô backlog hiện riêng),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 đóng kết nối → accept tiếp. Hình một listening socket, nhiều connected socket lần lượt: mọi kết nối cùng local port 9199, phân biệt bằng 4-tuple (địa chỉ và port hai đầu). Hình integration test: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Giới hạn độ dài dòng và mã lỗi trong giao thức; Ghi log kèm endpoint hai đầu</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UdpLookupServer và UdpLookupClient tra cứu qua datagram; buffer 16 byte làm phản hồi bị cắt; connected UDP socket bỏ qua datagram từ endpoint khác.</w:t>
      </w:r>
    </w:p>
    <w:p>
      <w:pPr>
        <w:spacing w:after="40"/>
      </w:pPr>
      <w:r>
        <w:rPr>
          <w:b/>
        </w:rPr>
        <w:t xml:space="preserve">Lưu ý: </w:t>
      </w:r>
      <w:r>
        <w:t>receive() không báo khi datagram bị cắt — buffer phải đủ cho datagram lớn nhất mà giao thức cho phép. Khi dùng lại một DatagramPacket trong vòng lặp, receive() đã đặt độ dài bằng datagram trước: phải gọi setLength(buf.length) trước mỗi lần nhận.</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header UDP 8 byte; infographic: TCP và UDP — tầng nào chịu trách nhiệm việc gì</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ba MulticastReceiver cùng nhận; máy nhận chọn network interface theo cấu hình.</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chuỗi khung hình nhỏ, 10 khung hình mỗi giây; ba VideoReceiver hiển thị và đếm khung hình mất; một máy nhận tham gia sau 5 giây.</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truyền video multicast không retry như tra cứu UDP?</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anh-chup: ba máy nhận cùng hiển thị</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Gửi request handshake tới một WebSocket server cục bộ bằng curl, quan sát response 101 và các header.</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Ba client chat qua một server; một client đóng, server xóa phiên và báo cho các client còn lại.</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 anh-chup: ba cửa sổ chat</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HttpClient của JDK gửi 20 request song song tới một server HTTP/2; in phiên bản giao thức của response (HTTP_2) và thời gian so với khi ép HTTP/1.1.</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infographic: HTTP/1.1 và HTTP/2</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nên quan sát bằng curl: response HTTP/2 có header Alt-Svc báo server hỗ trợ HTTP/3; curl --http3 -I gửi request qua QUIC (bản curl có hỗ trợ HTTP/3).</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so-do: connection migration; infographic: HTTP/1.1 → HTTP/2 → HTTP/3;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và LookupServer đăng ký vào RMI registry; client tra tên và gọi lookup; tắt server giữa chừng → RemoteException.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Client sửa đối tượng sau khi gửi: server không thấy thay đổi (bản sao). Hai client cập nhật cùng một khóa đồng thời; idempotency key chặn cập nhật trùng khi gọi lại.</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mở WSDL bằng trình duyệt; gửi request SOAP bằng curl và đọc response XML.</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client HttpClient gọi GET và PUT, in mã trạng thái và JSON.</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{"error": "not found"} cho khóa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Client gRPC gọi dịch vụ tra cứu; in kích thước message Protocol Buffers so với JSON cùng nội dung.</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Tra cứu theo tiền tố trả kết quả dần qua server streaming; lời gọi vượt deadline nhận DEADLINE_EXCEEDED.</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thường dùng: direct, fanout, topic (headers exchange ở Mở rộng).</w:t>
      </w:r>
    </w:p>
    <w:p>
      <w:pPr>
        <w:spacing w:after="40"/>
      </w:pPr>
      <w:r>
        <w:rPr>
          <w:b/>
        </w:rPr>
        <w:t xml:space="preserve">Mã / demo: </w:t>
      </w:r>
      <w:r>
        <w:t>Dịch vụ tra cứu gửi sự kiện 'khóa đã cập nhật' tới RabbitMQ (chạy bằng Docker); consumer in sự kiện; tắt consumer rồi bật lại, message vẫn còn trong queue.</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 Headers exchange: định tuyến theo header của message</w:t>
      </w:r>
    </w:p>
    <w:p>
      <w:pPr>
        <w:spacing w:after="40"/>
      </w:pPr>
      <w:r>
        <w:rPr>
          <w:b/>
        </w:rPr>
        <w:t xml:space="preserve">Mở rộng — bài tập: </w:t>
      </w:r>
      <w:r>
        <w:t>Cấu hình queue durable và message persistent; khởi động lại container RabbitMQ và kiểm tra message còn lại.</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Một sự kiện cập nhật tới hai nhóm consumer: ghi log (publish/subscribe) và gửi email bằng hai worker (work queue).</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gửi một datagram chứa khóa và chờ một datagram kết quả,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không khớp thì bỏ datagram.</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(243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dùng trong demo qua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 chặng</w:t>
            </w:r>
          </w:p>
        </w:tc>
        <w:tc>
          <w:tcPr>
            <w:tcW w:type="dxa" w:w="2160"/>
          </w:tcPr>
          <w:p>
            <w:r>
              <w:rPr>
                <w:sz w:val="19"/>
              </w:rPr>
              <w:t>Dùng tên chuẩn trong glossary; dùng 'nhóm' thay cho 'chặng'.</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tóm lại, điều quan trọng, không chỉ, hãy cùng, nội dung trọng tâm, khám phá, chắc chắn rằng, có thể nói rằng, cần lưu ý rằng, đóng vai trò quan trọng, then chốt</w:t>
            </w:r>
          </w:p>
        </w:tc>
        <w:tc>
          <w:tcPr>
            <w:tcW w:type="dxa" w:w="2160"/>
          </w:tcPr>
          <w:p>
            <w:r>
              <w:rPr>
                <w:sz w:val="19"/>
              </w:rPr>
              <w:t>Bỏ câu đệm; nói thẳng nội dung.</w:t>
            </w:r>
          </w:p>
        </w:tc>
      </w:tr>
      <w:tr>
        <w:tc>
          <w:tcPr>
            <w:tcW w:type="dxa" w:w="2160"/>
          </w:tcPr>
          <w:p>
            <w:r>
              <w:rPr>
                <w:sz w:val="19"/>
              </w:rPr>
              <w:t>Gắn thời điểm, ngữ cảnh lớp học trực tiếp</w:t>
            </w:r>
          </w:p>
        </w:tc>
        <w:tc>
          <w:tcPr>
            <w:tcW w:type="dxa" w:w="2160"/>
          </w:tcPr>
          <w:p>
            <w:r>
              <w:rPr>
                <w:sz w:val="19"/>
              </w:rPr>
              <w:t>cảnh báo</w:t>
            </w:r>
          </w:p>
        </w:tc>
        <w:tc>
          <w:tcPr>
            <w:tcW w:type="dxa" w:w="2160"/>
          </w:tcPr>
          <w:p>
            <w:r>
              <w:rPr>
                <w:sz w:val="19"/>
              </w:rPr>
              <w:t>hôm nay, buổi học, tiết học, tiết này, tuần này, tuần sau</w:t>
            </w:r>
          </w:p>
        </w:tc>
        <w:tc>
          <w:tcPr>
            <w:tcW w:type="dxa" w:w="2160"/>
          </w:tcPr>
          <w:p>
            <w:r>
              <w:rPr>
                <w:sz w:val="19"/>
              </w:rPr>
              <w:t>Bài giảng số xem lúc nào cũng được: nêu nội dung, không nêu thời điểm (Chương 2 bắt đầu…).</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