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1e99703f794ee767962593e15a34d33e0afa320.png"/>
            <a:graphic>
              <a:graphicData uri="http://schemas.openxmlformats.org/drawingml/2006/picture">
                <pic:pic>
                  <pic:nvPicPr>
                    <pic:cNvPr id="1" name="image-d1e99703f794ee767962593e15a34d33e0afa32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ow_can_i_distinguish_optically_t_a2a73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how can I distinguish optically thick and thin cases in 12CO(1-0) and 12CO(2-1) lines if I also have 13CO lines?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 distinguish optically thick vs. thin cases in your CO lines using both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and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data, use these key diagnostics:</w:t>
      </w:r>
    </w:p>
    <w:p>
      <w:pPr>
        <w:spacing w:line="360" w:before="315" w:after="105" w:lineRule="auto"/>
        <w:ind w:left="-30"/>
        <w:jc w:val="left"/>
      </w:pPr>
      <w:bookmarkStart w:id="1" w:name="bm_1_co_co_intensity_ratio_primary_t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</w:t>
      </w:r>
      <w:r>
        <w:rPr>
          <w:rFonts w:eastAsia="source serif 4" w:cs="source serif 4" w:ascii="source serif 4" w:hAnsi="source serif 4"/>
          <w:b/>
          <w:color w:val="000000"/>
          <w:sz w:val="24"/>
        </w:rPr>
      </w:r>
      <m:oMath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4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CO/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4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 Intensity Ratio (Primary Test)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most direct method is comparing the brightness temperatures (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</w:rPr>
              <m:t>b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) or integrated intensities: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Optically thick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12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≫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13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typically ratio &gt; 5–10</w:t>
      </w:r>
      <w:bookmarkStart w:id="2" w:name="fnref1"/>
      <w:bookmarkEnd w:id="2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Optically thin case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12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≈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13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ratio ≈ 1–3</w:t>
      </w:r>
      <w:bookmarkStart w:id="4" w:name="fnref3"/>
      <w:bookmarkEnd w:id="4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ratio is proportional to the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optical depth when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is thin: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12</m:t>
                  </m:r>
                </m:sup>
              </m:sSup>
              <m:r>
                <m:rPr>
                  <m:nor/>
                </m:rPr>
                <w:rPr>
                  <w:color w:val="000000"/>
                </w:rPr>
                <m:t>CO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color w:val="000000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13</m:t>
                  </m:r>
                </m:sup>
              </m:sSup>
              <m:r>
                <m:rPr>
                  <m:nor/>
                </m:rPr>
                <w:rPr>
                  <w:color w:val="000000"/>
                </w:rPr>
                <m:t>CO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den>
          </m:f>
          <m:r>
            <m:rPr>
              <m:sty m:val="p"/>
            </m:rPr>
            <w:rPr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τ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m:rPr>
                          <m:sty m:val="i"/>
                        </m:rPr>
                        <w:rPr>
                          <w:color w:val="000000"/>
                        </w:rPr>
                      </m:r>
                    </m:e>
                    <m:sup/>
                  </m:sSup>
                  <m:r>
                    <m:rPr>
                      <m:nor/>
                    </m:rPr>
                    <w:rPr>
                      <w:color w:val="000000"/>
                    </w:rPr>
                    <m:t>CO</m:t>
                  </m:r>
                </m:sub>
              </m:sSub>
            </m:num>
            <m:den>
              <m:r>
                <m:rPr>
                  <m:sty m:val="p"/>
                </m:rPr>
                <w:rPr>
                  <w:color w:val="000000"/>
                </w:rPr>
                <m:t>1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i"/>
                        </m:rPr>
                        <w:rPr>
                          <w:color w:val="000000"/>
                        </w:rPr>
                        <m:t>τ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i"/>
                            </m:rPr>
                            <w:rPr>
                              <w:color w:val="000000"/>
                            </w:rPr>
                          </m:r>
                        </m:e>
                        <m:sup/>
                      </m:sSup>
                      <m:r>
                        <m:rPr>
                          <m:nor/>
                        </m:rPr>
                        <w:rPr>
                          <w:color w:val="000000"/>
                        </w:rPr>
                        <m:t>CO</m:t>
                      </m:r>
                    </m:sub>
                  </m:sSub>
                </m:sup>
              </m:sSup>
            </m:den>
          </m:f>
        </m:oMath>
      </m:oMathPara>
      <w:bookmarkStart w:id="6" w:name="fnref2_1"/>
      <w:bookmarkEnd w:id="6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" w:name="bm_2_line_ratio_tables_for_your_t_b0ec5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Line Ratio Tables for Your Transitions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Transition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Typical Optical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Behavior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</m:r>
                </m:e>
                <m:sup/>
              </m:sSup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CO(1-0)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τ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∼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5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10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Usually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</m:r>
                </m:e>
                <m:sup/>
              </m:sSup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CO(2-1)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τ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∼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20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25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Thicker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than (1-0) </w:t>
            </w:r>
            <w:hyperlink w:anchor="fn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</m:r>
                </m:e>
                <m:sup/>
              </m:sSup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CO(1-0)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τ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∼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0.5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2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Usually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hyperlink w:anchor="fn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</m:r>
                </m:e>
                <m:sup/>
              </m:sSup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CO(2-1)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τ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∼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1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3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Often thin, may be marginally thick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3_excitation_temperature_consisten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Excitation Temperature Consistency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both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CO(1-0) and (2-1) give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same excitation temperature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</w:rPr>
              <m:t>e</m:t>
            </m:r>
            <m:r>
              <m:rPr>
                <m:sty m:val="i"/>
              </m:rPr>
              <w:rPr>
                <w:color w:val="000000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) as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CO, the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lines are likely thick (saturated at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</w:rPr>
              <m:t>e</m:t>
            </m:r>
            <m:r>
              <m:rPr>
                <m:sty m:val="i"/>
              </m:rPr>
              <w:rPr>
                <w:color w:val="000000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):</w:t>
      </w:r>
      <w:bookmarkStart w:id="9" w:name="fnref6"/>
      <w:bookmarkEnd w:id="9"/>
      <w:hyperlink w:anchor="fn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[6]</w:t>
        </w:r>
      </w:hyperlink>
      <w:bookmarkStart w:id="10" w:name="fnref1_3"/>
      <w:bookmarkEnd w:id="10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Thick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CO: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r>
          <m:rPr>
            <m:sty m:val="p"/>
          </m:rPr>
          <w:rPr>
            <w:color w:val="000000"/>
            <w:sz w:val="21"/>
          </w:rPr>
          <m:t>≈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(saturated)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Thin case: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r>
          <m:rPr>
            <m:sty m:val="p"/>
          </m:rPr>
          <w:rPr>
            <w:color w:val="000000"/>
            <w:sz w:val="21"/>
          </w:rPr>
          <m:t>&lt;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(proportional to </w:t>
      </w:r>
      <m:oMath>
        <m:r>
          <m:rPr>
            <m:sty m:val="i"/>
          </m:rPr>
          <w:rPr>
            <w:color w:val="000000"/>
            <w:sz w:val="21"/>
          </w:rPr>
          <m:t>τ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11" w:name="bm_4_co_2_1_co_2_1_rat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</w:t>
      </w:r>
      <w:r>
        <w:rPr>
          <w:rFonts w:eastAsia="source serif 4" w:cs="source serif 4" w:ascii="source serif 4" w:hAnsi="source serif 4"/>
          <w:b/>
          <w:color w:val="000000"/>
          <w:sz w:val="24"/>
        </w:rPr>
      </w:r>
      <m:oMath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4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CO(2-1)/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4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CO(2-1) Ratio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ratio is typically </w:t>
      </w:r>
      <w:r>
        <w:rPr>
          <w:rFonts w:eastAsia="source serif 4" w:cs="source serif 4" w:ascii="source serif 4" w:hAnsi="source serif 4"/>
          <w:b/>
          <w:color w:val="000000"/>
        </w:rPr>
        <w:t xml:space="preserve">0.1–0.3</w:t>
      </w:r>
      <w:r>
        <w:rPr>
          <w:rFonts w:eastAsia="source serif 4" w:cs="source serif 4" w:ascii="source serif 4" w:hAnsi="source serif 4"/>
          <w:color w:val="000000"/>
        </w:rPr>
        <w:t xml:space="preserve"> for thick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CO. If it approaches </w:t>
      </w:r>
      <w:r>
        <w:rPr>
          <w:rFonts w:eastAsia="source serif 4" w:cs="source serif 4" w:ascii="source serif 4" w:hAnsi="source serif 4"/>
          <w:b/>
          <w:color w:val="000000"/>
        </w:rPr>
        <w:t xml:space="preserve">0.5–0.7</w:t>
      </w:r>
      <w:r>
        <w:rPr>
          <w:rFonts w:eastAsia="source serif 4" w:cs="source serif 4" w:ascii="source serif 4" w:hAnsi="source serif 4"/>
          <w:color w:val="000000"/>
        </w:rPr>
        <w:t xml:space="preserve">, both lines may be thin.</w:t>
      </w:r>
      <w:bookmarkStart w:id="12" w:name="fnref7"/>
      <w:bookmarkEnd w:id="12"/>
      <w:hyperlink w:anchor="fn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3" w:name="practical_work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Practical Workflow:</w:t>
      </w:r>
      <w:bookmarkEnd w:id="1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Calculate </w:t>
      </w:r>
      <m:oMath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12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/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(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13</m:t>
            </m:r>
          </m:sup>
        </m:sSup>
        <m:r>
          <m:rPr>
            <m:nor/>
          </m:rPr>
          <w:rPr>
            <w:color w:val="000000"/>
            <w:sz w:val="21"/>
          </w:rPr>
          <m:t>CO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for each transition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</w:t>
      </w:r>
      <m:oMath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&gt;</m:t>
        </m:r>
        <m:r>
          <m:rPr>
            <m:sty m:val="p"/>
          </m:rPr>
          <w:rPr>
            <w:color w:val="000000"/>
            <w:sz w:val="21"/>
          </w:rPr>
          <m:t>5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CO is thick,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CO is likely thin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</w:t>
      </w:r>
      <m:oMath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&lt;</m:t>
        </m:r>
        <m:r>
          <m:rPr>
            <m:sty m:val="p"/>
          </m:rPr>
          <w:rPr>
            <w:color w:val="000000"/>
            <w:sz w:val="21"/>
          </w:rPr>
          <m:t>3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Check if both are thin (possibly low-density regions)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CO matches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CO brightness temperature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lines serve as your optically thin reference since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 is ~60–70× less abundant than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C, making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</m:r>
          </m:e>
          <m:sup/>
        </m:sSup>
      </m:oMath>
      <w:r>
        <w:rPr>
          <w:rFonts w:eastAsia="source serif 4" w:cs="source serif 4" w:ascii="source serif 4" w:hAnsi="source serif 4"/>
          <w:color w:val="000000"/>
        </w:rPr>
        <w:t xml:space="preserve">CO much less likely to be thick.</w:t>
      </w:r>
      <w:bookmarkStart w:id="14" w:name="fnref5_1"/>
      <w:bookmarkEnd w:id="14"/>
      <w:hyperlink w:anchor="fn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[5]</w:t>
        </w:r>
      </w:hyperlink>
      <w:bookmarkStart w:id="15" w:name="fnref3_2"/>
      <w:bookmarkEnd w:id="15"/>
      <w:hyperlink w:anchor="fn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" w:name="fn1"/>
    <w:bookmarkEnd w:id="16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https://adsabs.harvard.edu/full/1994ApJ...421..434X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" w:name="fn2"/>
    <w:bookmarkEnd w:id="17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https://academic.oup.com/mnras/article-pdf/445/3/2378/3514278/stu1850.pdf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" w:name="fn3"/>
    <w:bookmarkEnd w:id="18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https://academic.oup.com/mnras/article/475/3/3909/4795341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" w:name="fn4"/>
    <w:bookmarkEnd w:id="19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https://hal.science/hal-02235757/document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" w:name="fn5"/>
    <w:bookmarkEnd w:id="20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https://www.eso.org/sci/publications/messenger/archive/no.21-sep80/messenger-no21-20-22.pdf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" w:name="fn6"/>
    <w:bookmarkEnd w:id="21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https://people.ira.inaf.it/ddallaca/RadioA_6.pdf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" w:name="fn7"/>
    <w:bookmarkEnd w:id="22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https://arxiv.org/pdf/2605.17024.pdf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" w:name="fn8"/>
    <w:bookmarkEnd w:id="23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https://orca.cardiff.ac.uk/id/eprint/184441/1/pdf.pdf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" w:name="fn9"/>
    <w:bookmarkEnd w:id="24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https://www.ioa.s.u-tokyo.ac.jp/~sofue/news/2020_mn_Xco12co13_fugin.pdf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" w:name="fn10"/>
    <w:bookmarkEnd w:id="25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http://userpages.irap.omp.eu/~oberne/Olivier_Berne/Research_files/Comment.pdf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1e99703f794ee767962593e15a34d33e0afa320.png" TargetMode="Internal"/><Relationship Id="rId6" Type="http://schemas.openxmlformats.org/officeDocument/2006/relationships/hyperlink" Target="https://adsabs.harvard.edu/full/1994ApJ...421..434X" TargetMode="External"/><Relationship Id="rId7" Type="http://schemas.openxmlformats.org/officeDocument/2006/relationships/hyperlink" Target="https://academic.oup.com/mnras/article-pdf/445/3/2378/3514278/stu1850.pdf" TargetMode="External"/><Relationship Id="rId8" Type="http://schemas.openxmlformats.org/officeDocument/2006/relationships/hyperlink" Target="https://academic.oup.com/mnras/article/475/3/3909/4795341" TargetMode="External"/><Relationship Id="rId9" Type="http://schemas.openxmlformats.org/officeDocument/2006/relationships/hyperlink" Target="https://hal.science/hal-02235757/document" TargetMode="External"/><Relationship Id="rId10" Type="http://schemas.openxmlformats.org/officeDocument/2006/relationships/hyperlink" Target="https://www.eso.org/sci/publications/messenger/archive/no.21-sep80/messenger-no21-20-22.pdf" TargetMode="External"/><Relationship Id="rId11" Type="http://schemas.openxmlformats.org/officeDocument/2006/relationships/hyperlink" Target="https://people.ira.inaf.it/ddallaca/RadioA_6.pdf" TargetMode="External"/><Relationship Id="rId12" Type="http://schemas.openxmlformats.org/officeDocument/2006/relationships/hyperlink" Target="https://arxiv.org/pdf/2605.17024.pdf" TargetMode="External"/><Relationship Id="rId13" Type="http://schemas.openxmlformats.org/officeDocument/2006/relationships/hyperlink" Target="https://orca.cardiff.ac.uk/id/eprint/184441/1/pdf.pdf" TargetMode="External"/><Relationship Id="rId14" Type="http://schemas.openxmlformats.org/officeDocument/2006/relationships/hyperlink" Target="https://www.ioa.s.u-tokyo.ac.jp/~sofue/news/2020_mn_Xco12co13_fugin.pdf" TargetMode="External"/><Relationship Id="rId15" Type="http://schemas.openxmlformats.org/officeDocument/2006/relationships/hyperlink" Target="http://userpages.irap.omp.eu/~oberne/Olivier_Berne/Research_files/Comment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2026-06-08T14:58:48.918Z</dcterms:created>
  <dcterms:modified xsi:type="dcterms:W3CDTF">2026-06-08T14:58:48.918Z</dcterms:modified>
</cp:coreProperties>
</file>