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eastAsia="Times New Roman"/>
          <w:b/>
          <w:sz w:val="32"/>
        </w:rPr>
        <w:t>BÁO CÁO TÓM TẮT VÀ PHÂN TÍCH BÀI BÁO ECG-CLIP</w:t>
      </w:r>
    </w:p>
    <w:p>
      <w:pPr>
        <w:spacing w:after="240"/>
        <w:jc w:val="center"/>
      </w:pPr>
      <w:r>
        <w:rPr>
          <w:rFonts w:ascii="Times New Roman" w:hAnsi="Times New Roman" w:eastAsia="Times New Roman"/>
          <w:i/>
          <w:sz w:val="24"/>
        </w:rPr>
        <w:t>“Diagnosis of cardiac conditions from 12-lead electrocardiogram through natural language supervision”</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E7E6E6"/>
          </w:tcPr>
          <w:p>
            <w:pPr>
              <w:jc w:val="left"/>
            </w:pPr>
            <w:r/>
            <w:r>
              <w:rPr>
                <w:rFonts w:ascii="Times New Roman" w:hAnsi="Times New Roman" w:eastAsia="Times New Roman"/>
                <w:b/>
                <w:sz w:val="21"/>
              </w:rPr>
              <w:t>Tác giả</w:t>
            </w:r>
          </w:p>
        </w:tc>
        <w:tc>
          <w:tcPr>
            <w:tcW w:type="dxa" w:w="4844"/>
            <w:vAlign w:val="center"/>
          </w:tcPr>
          <w:p>
            <w:pPr>
              <w:jc w:val="left"/>
            </w:pPr>
            <w:r/>
            <w:r>
              <w:rPr>
                <w:rFonts w:ascii="Times New Roman" w:hAnsi="Times New Roman" w:eastAsia="Times New Roman"/>
                <w:b w:val="0"/>
                <w:sz w:val="21"/>
              </w:rPr>
              <w:t>Xue Zhou, Tianhui Li, Hiromasa Hayama, Keijiro Nakamura, Shing-Hong Liu, Wenxi Chen và Xin Zhu</w:t>
            </w:r>
          </w:p>
        </w:tc>
      </w:tr>
      <w:tr>
        <w:tc>
          <w:tcPr>
            <w:tcW w:type="dxa" w:w="4844"/>
            <w:vAlign w:val="center"/>
            <w:shd w:fill="E7E6E6"/>
          </w:tcPr>
          <w:p>
            <w:pPr>
              <w:jc w:val="left"/>
            </w:pPr>
            <w:r/>
            <w:r>
              <w:rPr>
                <w:rFonts w:ascii="Times New Roman" w:hAnsi="Times New Roman" w:eastAsia="Times New Roman"/>
                <w:b/>
                <w:sz w:val="21"/>
              </w:rPr>
              <w:t>Tạp chí</w:t>
            </w:r>
          </w:p>
        </w:tc>
        <w:tc>
          <w:tcPr>
            <w:tcW w:type="dxa" w:w="4844"/>
            <w:vAlign w:val="center"/>
          </w:tcPr>
          <w:p>
            <w:pPr>
              <w:jc w:val="left"/>
            </w:pPr>
            <w:r/>
            <w:r>
              <w:rPr>
                <w:rFonts w:ascii="Times New Roman" w:hAnsi="Times New Roman" w:eastAsia="Times New Roman"/>
                <w:b w:val="0"/>
                <w:sz w:val="21"/>
              </w:rPr>
              <w:t>npj Digital Medicine, tập 8, bài số 697, năm 2025</w:t>
            </w:r>
          </w:p>
        </w:tc>
      </w:tr>
      <w:tr>
        <w:tc>
          <w:tcPr>
            <w:tcW w:type="dxa" w:w="4844"/>
            <w:vAlign w:val="center"/>
            <w:shd w:fill="E7E6E6"/>
          </w:tcPr>
          <w:p>
            <w:pPr>
              <w:jc w:val="left"/>
            </w:pPr>
            <w:r/>
            <w:r>
              <w:rPr>
                <w:rFonts w:ascii="Times New Roman" w:hAnsi="Times New Roman" w:eastAsia="Times New Roman"/>
                <w:b/>
                <w:sz w:val="21"/>
              </w:rPr>
              <w:t>DOI</w:t>
            </w:r>
          </w:p>
        </w:tc>
        <w:tc>
          <w:tcPr>
            <w:tcW w:type="dxa" w:w="4844"/>
            <w:vAlign w:val="center"/>
          </w:tcPr>
          <w:p>
            <w:pPr>
              <w:jc w:val="left"/>
            </w:pPr>
            <w:r/>
            <w:r>
              <w:rPr>
                <w:rFonts w:ascii="Times New Roman" w:hAnsi="Times New Roman" w:eastAsia="Times New Roman"/>
                <w:b w:val="0"/>
                <w:sz w:val="21"/>
              </w:rPr>
              <w:t>10.1038/s41746-025-02074-3</w:t>
            </w:r>
          </w:p>
        </w:tc>
      </w:tr>
      <w:tr>
        <w:tc>
          <w:tcPr>
            <w:tcW w:type="dxa" w:w="4844"/>
            <w:vAlign w:val="center"/>
            <w:shd w:fill="E7E6E6"/>
          </w:tcPr>
          <w:p>
            <w:pPr>
              <w:jc w:val="left"/>
            </w:pPr>
            <w:r/>
            <w:r>
              <w:rPr>
                <w:rFonts w:ascii="Times New Roman" w:hAnsi="Times New Roman" w:eastAsia="Times New Roman"/>
                <w:b/>
                <w:sz w:val="21"/>
              </w:rPr>
              <w:t>Dữ liệu chính</w:t>
            </w:r>
          </w:p>
        </w:tc>
        <w:tc>
          <w:tcPr>
            <w:tcW w:type="dxa" w:w="4844"/>
            <w:vAlign w:val="center"/>
          </w:tcPr>
          <w:p>
            <w:pPr>
              <w:jc w:val="left"/>
            </w:pPr>
            <w:r/>
            <w:r>
              <w:rPr>
                <w:rFonts w:ascii="Times New Roman" w:hAnsi="Times New Roman" w:eastAsia="Times New Roman"/>
                <w:b w:val="0"/>
                <w:sz w:val="21"/>
              </w:rPr>
              <w:t>MIMIC-IV-ECG và LSAS-ECG</w:t>
            </w:r>
          </w:p>
        </w:tc>
      </w:tr>
    </w:tbl>
    <w:p/>
    <w:p>
      <w:pPr>
        <w:pStyle w:val="Heading1"/>
      </w:pPr>
      <w:r>
        <w:t>1. Bối cảnh và vấn đề nghiên cứu</w:t>
      </w:r>
    </w:p>
    <w:p>
      <w:pPr>
        <w:spacing w:line="276" w:lineRule="auto" w:after="120"/>
        <w:jc w:val="both"/>
      </w:pPr>
      <w:r>
        <w:rPr>
          <w:rFonts w:ascii="Times New Roman" w:hAnsi="Times New Roman" w:eastAsia="Times New Roman"/>
          <w:sz w:val="24"/>
        </w:rPr>
        <w:t>Các mô hình trí tuệ nhân tạo phân tích điện tâm đồ thường được xây dựng theo hướng học có giám sát, trong đó mỗi bệnh lý cần một tập dữ liệu đã gán nhãn và một quy trình huấn luyện riêng. Cách tiếp cận này đạt hiệu quả cao đối với các bệnh phổ biến nhưng khó mở rộng sang bệnh hiếm, tiêu chuẩn chẩn đoán mới hoặc những cơ sở y tế có cách ghi báo cáo khác nhau.</w:t>
      </w:r>
    </w:p>
    <w:p>
      <w:pPr>
        <w:spacing w:line="276" w:lineRule="auto" w:after="120"/>
        <w:jc w:val="both"/>
      </w:pPr>
      <w:r>
        <w:rPr>
          <w:rFonts w:ascii="Times New Roman" w:hAnsi="Times New Roman" w:eastAsia="Times New Roman"/>
          <w:sz w:val="24"/>
        </w:rPr>
        <w:t>Bài báo đề xuất ECG-CLIP, một mô hình học đa phương thức tương phản giữa tín hiệu ECG 12 chuyển đạo và báo cáo văn bản đi kèm. Mục tiêu là tạo một không gian biểu diễn chung, trong đó ECG và mô tả y khoa có ý nghĩa tương ứng nằm gần nhau. Sau khi huấn luyện, mô hình có thể nhận diện tình trạng tim mạch bằng câu mô tả văn bản mà không cần huấn luyện riêng cho từng nhãn, tức chẩn đoán zero-shot.</w:t>
      </w:r>
    </w:p>
    <w:p>
      <w:pPr>
        <w:pStyle w:val="Heading1"/>
      </w:pPr>
      <w:r>
        <w:t>2. Dữ liệu và thiết kế nghiên cứu</w:t>
      </w:r>
    </w:p>
    <w:p>
      <w:pPr>
        <w:spacing w:line="276" w:lineRule="auto" w:after="120"/>
        <w:jc w:val="both"/>
      </w:pPr>
      <w:r>
        <w:rPr>
          <w:rFonts w:ascii="Times New Roman" w:hAnsi="Times New Roman" w:eastAsia="Times New Roman"/>
          <w:sz w:val="24"/>
        </w:rPr>
        <w:t>Nghiên cứu sử dụng 800.034 cặp ECG-văn bản của 161.352 bệnh nhân từ MIMIC-IV-ECG. Mỗi ECG gồm 12 chuyển đạo, thời lượng 10 giây và tần số lấy mẫu ban đầu 500 Hz. Dữ liệu được chia theo bệnh nhân với tỷ lệ 8:1:1 để tránh rò rỉ dữ liệu giữa tập huấn luyện, xác thực và kiểm tra.</w:t>
      </w:r>
    </w:p>
    <w:p>
      <w:pPr>
        <w:spacing w:line="276" w:lineRule="auto" w:after="120"/>
        <w:jc w:val="both"/>
      </w:pPr>
      <w:r>
        <w:rPr>
          <w:rFonts w:ascii="Times New Roman" w:hAnsi="Times New Roman" w:eastAsia="Times New Roman"/>
          <w:sz w:val="24"/>
        </w:rPr>
        <w:t>Đánh giá ngoài được thực hiện trên LSAS-ECG gồm 45.151 ECG từ các bệnh nhân độc lập tại Trung Quốc. Việc sử dụng bộ dữ liệu ngoài giúp kiểm tra khả năng tổng quát hóa giữa các quốc gia, quần thể và quy trình thu nhận ECG khác nhau.</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shd w:fill="D9EAF7"/>
          </w:tcPr>
          <w:p>
            <w:pPr>
              <w:jc w:val="left"/>
            </w:pPr>
            <w:r/>
            <w:r>
              <w:rPr>
                <w:rFonts w:ascii="Times New Roman" w:hAnsi="Times New Roman" w:eastAsia="Times New Roman"/>
                <w:b/>
                <w:sz w:val="20"/>
              </w:rPr>
              <w:t>Tập dữ liệu</w:t>
            </w:r>
          </w:p>
        </w:tc>
        <w:tc>
          <w:tcPr>
            <w:tcW w:type="dxa" w:w="2422"/>
            <w:vAlign w:val="center"/>
            <w:shd w:fill="D9EAF7"/>
          </w:tcPr>
          <w:p>
            <w:pPr>
              <w:jc w:val="left"/>
            </w:pPr>
            <w:r/>
            <w:r>
              <w:rPr>
                <w:rFonts w:ascii="Times New Roman" w:hAnsi="Times New Roman" w:eastAsia="Times New Roman"/>
                <w:b/>
                <w:sz w:val="20"/>
              </w:rPr>
              <w:t>Số bệnh nhân</w:t>
            </w:r>
          </w:p>
        </w:tc>
        <w:tc>
          <w:tcPr>
            <w:tcW w:type="dxa" w:w="2422"/>
            <w:vAlign w:val="center"/>
            <w:shd w:fill="D9EAF7"/>
          </w:tcPr>
          <w:p>
            <w:pPr>
              <w:jc w:val="left"/>
            </w:pPr>
            <w:r/>
            <w:r>
              <w:rPr>
                <w:rFonts w:ascii="Times New Roman" w:hAnsi="Times New Roman" w:eastAsia="Times New Roman"/>
                <w:b/>
                <w:sz w:val="20"/>
              </w:rPr>
              <w:t>Số ECG</w:t>
            </w:r>
          </w:p>
        </w:tc>
        <w:tc>
          <w:tcPr>
            <w:tcW w:type="dxa" w:w="2422"/>
            <w:vAlign w:val="center"/>
            <w:shd w:fill="D9EAF7"/>
          </w:tcPr>
          <w:p>
            <w:pPr>
              <w:jc w:val="left"/>
            </w:pPr>
            <w:r/>
            <w:r>
              <w:rPr>
                <w:rFonts w:ascii="Times New Roman" w:hAnsi="Times New Roman" w:eastAsia="Times New Roman"/>
                <w:b/>
                <w:sz w:val="20"/>
              </w:rPr>
              <w:t>Vai trò</w:t>
            </w:r>
          </w:p>
        </w:tc>
      </w:tr>
      <w:tr>
        <w:tc>
          <w:tcPr>
            <w:tcW w:type="dxa" w:w="2422"/>
            <w:vAlign w:val="center"/>
          </w:tcPr>
          <w:p>
            <w:pPr>
              <w:jc w:val="left"/>
            </w:pPr>
            <w:r/>
            <w:r>
              <w:rPr>
                <w:rFonts w:ascii="Times New Roman" w:hAnsi="Times New Roman" w:eastAsia="Times New Roman"/>
                <w:b w:val="0"/>
                <w:sz w:val="19"/>
              </w:rPr>
              <w:t>MIMIC-IV-ECG huấn luyện</w:t>
            </w:r>
          </w:p>
        </w:tc>
        <w:tc>
          <w:tcPr>
            <w:tcW w:type="dxa" w:w="2422"/>
            <w:vAlign w:val="center"/>
          </w:tcPr>
          <w:p>
            <w:pPr>
              <w:jc w:val="left"/>
            </w:pPr>
            <w:r/>
            <w:r>
              <w:rPr>
                <w:rFonts w:ascii="Times New Roman" w:hAnsi="Times New Roman" w:eastAsia="Times New Roman"/>
                <w:b w:val="0"/>
                <w:sz w:val="19"/>
              </w:rPr>
              <w:t>129.081</w:t>
            </w:r>
          </w:p>
        </w:tc>
        <w:tc>
          <w:tcPr>
            <w:tcW w:type="dxa" w:w="2422"/>
            <w:vAlign w:val="center"/>
          </w:tcPr>
          <w:p>
            <w:pPr>
              <w:jc w:val="left"/>
            </w:pPr>
            <w:r/>
            <w:r>
              <w:rPr>
                <w:rFonts w:ascii="Times New Roman" w:hAnsi="Times New Roman" w:eastAsia="Times New Roman"/>
                <w:b w:val="0"/>
                <w:sz w:val="19"/>
              </w:rPr>
              <w:t>638.376</w:t>
            </w:r>
          </w:p>
        </w:tc>
        <w:tc>
          <w:tcPr>
            <w:tcW w:type="dxa" w:w="2422"/>
            <w:vAlign w:val="center"/>
          </w:tcPr>
          <w:p>
            <w:pPr>
              <w:jc w:val="left"/>
            </w:pPr>
            <w:r/>
            <w:r>
              <w:rPr>
                <w:rFonts w:ascii="Times New Roman" w:hAnsi="Times New Roman" w:eastAsia="Times New Roman"/>
                <w:b w:val="0"/>
                <w:sz w:val="19"/>
              </w:rPr>
              <w:t>Huấn luyện mô hình</w:t>
            </w:r>
          </w:p>
        </w:tc>
      </w:tr>
      <w:tr>
        <w:tc>
          <w:tcPr>
            <w:tcW w:type="dxa" w:w="2422"/>
            <w:vAlign w:val="center"/>
          </w:tcPr>
          <w:p>
            <w:pPr>
              <w:jc w:val="left"/>
            </w:pPr>
            <w:r/>
            <w:r>
              <w:rPr>
                <w:rFonts w:ascii="Times New Roman" w:hAnsi="Times New Roman" w:eastAsia="Times New Roman"/>
                <w:b w:val="0"/>
                <w:sz w:val="19"/>
              </w:rPr>
              <w:t>MIMIC-IV-ECG xác thực</w:t>
            </w:r>
          </w:p>
        </w:tc>
        <w:tc>
          <w:tcPr>
            <w:tcW w:type="dxa" w:w="2422"/>
            <w:vAlign w:val="center"/>
          </w:tcPr>
          <w:p>
            <w:pPr>
              <w:jc w:val="left"/>
            </w:pPr>
            <w:r/>
            <w:r>
              <w:rPr>
                <w:rFonts w:ascii="Times New Roman" w:hAnsi="Times New Roman" w:eastAsia="Times New Roman"/>
                <w:b w:val="0"/>
                <w:sz w:val="19"/>
              </w:rPr>
              <w:t>16.135</w:t>
            </w:r>
          </w:p>
        </w:tc>
        <w:tc>
          <w:tcPr>
            <w:tcW w:type="dxa" w:w="2422"/>
            <w:vAlign w:val="center"/>
          </w:tcPr>
          <w:p>
            <w:pPr>
              <w:jc w:val="left"/>
            </w:pPr>
            <w:r/>
            <w:r>
              <w:rPr>
                <w:rFonts w:ascii="Times New Roman" w:hAnsi="Times New Roman" w:eastAsia="Times New Roman"/>
                <w:b w:val="0"/>
                <w:sz w:val="19"/>
              </w:rPr>
              <w:t>80.974</w:t>
            </w:r>
          </w:p>
        </w:tc>
        <w:tc>
          <w:tcPr>
            <w:tcW w:type="dxa" w:w="2422"/>
            <w:vAlign w:val="center"/>
          </w:tcPr>
          <w:p>
            <w:pPr>
              <w:jc w:val="left"/>
            </w:pPr>
            <w:r/>
            <w:r>
              <w:rPr>
                <w:rFonts w:ascii="Times New Roman" w:hAnsi="Times New Roman" w:eastAsia="Times New Roman"/>
                <w:b w:val="0"/>
                <w:sz w:val="19"/>
              </w:rPr>
              <w:t>Chọn mô hình và ngưỡng</w:t>
            </w:r>
          </w:p>
        </w:tc>
      </w:tr>
      <w:tr>
        <w:tc>
          <w:tcPr>
            <w:tcW w:type="dxa" w:w="2422"/>
            <w:vAlign w:val="center"/>
          </w:tcPr>
          <w:p>
            <w:pPr>
              <w:jc w:val="left"/>
            </w:pPr>
            <w:r/>
            <w:r>
              <w:rPr>
                <w:rFonts w:ascii="Times New Roman" w:hAnsi="Times New Roman" w:eastAsia="Times New Roman"/>
                <w:b w:val="0"/>
                <w:sz w:val="19"/>
              </w:rPr>
              <w:t>MIMIC-IV-ECG kiểm tra</w:t>
            </w:r>
          </w:p>
        </w:tc>
        <w:tc>
          <w:tcPr>
            <w:tcW w:type="dxa" w:w="2422"/>
            <w:vAlign w:val="center"/>
          </w:tcPr>
          <w:p>
            <w:pPr>
              <w:jc w:val="left"/>
            </w:pPr>
            <w:r/>
            <w:r>
              <w:rPr>
                <w:rFonts w:ascii="Times New Roman" w:hAnsi="Times New Roman" w:eastAsia="Times New Roman"/>
                <w:b w:val="0"/>
                <w:sz w:val="19"/>
              </w:rPr>
              <w:t>16.136</w:t>
            </w:r>
          </w:p>
        </w:tc>
        <w:tc>
          <w:tcPr>
            <w:tcW w:type="dxa" w:w="2422"/>
            <w:vAlign w:val="center"/>
          </w:tcPr>
          <w:p>
            <w:pPr>
              <w:jc w:val="left"/>
            </w:pPr>
            <w:r/>
            <w:r>
              <w:rPr>
                <w:rFonts w:ascii="Times New Roman" w:hAnsi="Times New Roman" w:eastAsia="Times New Roman"/>
                <w:b w:val="0"/>
                <w:sz w:val="19"/>
              </w:rPr>
              <w:t>80.684</w:t>
            </w:r>
          </w:p>
        </w:tc>
        <w:tc>
          <w:tcPr>
            <w:tcW w:type="dxa" w:w="2422"/>
            <w:vAlign w:val="center"/>
          </w:tcPr>
          <w:p>
            <w:pPr>
              <w:jc w:val="left"/>
            </w:pPr>
            <w:r/>
            <w:r>
              <w:rPr>
                <w:rFonts w:ascii="Times New Roman" w:hAnsi="Times New Roman" w:eastAsia="Times New Roman"/>
                <w:b w:val="0"/>
                <w:sz w:val="19"/>
              </w:rPr>
              <w:t>Đánh giá nội bộ</w:t>
            </w:r>
          </w:p>
        </w:tc>
      </w:tr>
      <w:tr>
        <w:tc>
          <w:tcPr>
            <w:tcW w:type="dxa" w:w="2422"/>
            <w:vAlign w:val="center"/>
          </w:tcPr>
          <w:p>
            <w:pPr>
              <w:jc w:val="left"/>
            </w:pPr>
            <w:r/>
            <w:r>
              <w:rPr>
                <w:rFonts w:ascii="Times New Roman" w:hAnsi="Times New Roman" w:eastAsia="Times New Roman"/>
                <w:b w:val="0"/>
                <w:sz w:val="19"/>
              </w:rPr>
              <w:t>LSAS-ECG</w:t>
            </w:r>
          </w:p>
        </w:tc>
        <w:tc>
          <w:tcPr>
            <w:tcW w:type="dxa" w:w="2422"/>
            <w:vAlign w:val="center"/>
          </w:tcPr>
          <w:p>
            <w:pPr>
              <w:jc w:val="left"/>
            </w:pPr>
            <w:r/>
            <w:r>
              <w:rPr>
                <w:rFonts w:ascii="Times New Roman" w:hAnsi="Times New Roman" w:eastAsia="Times New Roman"/>
                <w:b w:val="0"/>
                <w:sz w:val="19"/>
              </w:rPr>
              <w:t>45.151</w:t>
            </w:r>
          </w:p>
        </w:tc>
        <w:tc>
          <w:tcPr>
            <w:tcW w:type="dxa" w:w="2422"/>
            <w:vAlign w:val="center"/>
          </w:tcPr>
          <w:p>
            <w:pPr>
              <w:jc w:val="left"/>
            </w:pPr>
            <w:r/>
            <w:r>
              <w:rPr>
                <w:rFonts w:ascii="Times New Roman" w:hAnsi="Times New Roman" w:eastAsia="Times New Roman"/>
                <w:b w:val="0"/>
                <w:sz w:val="19"/>
              </w:rPr>
              <w:t>45.151</w:t>
            </w:r>
          </w:p>
        </w:tc>
        <w:tc>
          <w:tcPr>
            <w:tcW w:type="dxa" w:w="2422"/>
            <w:vAlign w:val="center"/>
          </w:tcPr>
          <w:p>
            <w:pPr>
              <w:jc w:val="left"/>
            </w:pPr>
            <w:r/>
            <w:r>
              <w:rPr>
                <w:rFonts w:ascii="Times New Roman" w:hAnsi="Times New Roman" w:eastAsia="Times New Roman"/>
                <w:b w:val="0"/>
                <w:sz w:val="19"/>
              </w:rPr>
              <w:t>Đánh giá ngoài</w:t>
            </w:r>
          </w:p>
        </w:tc>
      </w:tr>
    </w:tbl>
    <w:p>
      <w:pPr>
        <w:pStyle w:val="Heading1"/>
      </w:pPr>
      <w:r>
        <w:t>3. Tiền xử lý và kiến trúc ECG-CLIP</w:t>
      </w:r>
    </w:p>
    <w:p>
      <w:pPr>
        <w:spacing w:line="276" w:lineRule="auto" w:after="120"/>
        <w:jc w:val="both"/>
      </w:pPr>
      <w:r>
        <w:rPr>
          <w:rFonts w:ascii="Times New Roman" w:hAnsi="Times New Roman" w:eastAsia="Times New Roman"/>
          <w:sz w:val="24"/>
        </w:rPr>
        <w:t>Tín hiệu ECG được lọc bằng bộ lọc Butterworth bậc bốn trong dải 0,5–50 Hz, giảm tần số lấy mẫu từ 500 Hz xuống 100 Hz và chuẩn hóa min-max theo từng chuyển đạo. Sau tiền xử lý, mỗi ECG có kích thước 12 × 1.000.</w:t>
      </w:r>
    </w:p>
    <w:p>
      <w:pPr>
        <w:spacing w:line="276" w:lineRule="auto" w:after="120"/>
        <w:jc w:val="both"/>
      </w:pPr>
      <w:r>
        <w:rPr>
          <w:rFonts w:ascii="Times New Roman" w:hAnsi="Times New Roman" w:eastAsia="Times New Roman"/>
          <w:sz w:val="24"/>
        </w:rPr>
        <w:t>Khác với phần mô tả giản lược thường gọi là CNN, kiến trúc xử lý ECG trong bài báo thực tế là một Vision Transformer được điều chỉnh cho tín hiệu một chiều. Ba lớp tích chập 1D được dùng ở phần đầu để tạo các đoạn biểu diễn, sau đó đưa vào các khối Transformer. Bộ mã hóa văn bản gồm 12 lớp Transformer, độ rộng 512 và 8 đầu attention.</w:t>
      </w:r>
    </w:p>
    <w:p>
      <w:pPr>
        <w:spacing w:line="276" w:lineRule="auto" w:after="120"/>
        <w:jc w:val="both"/>
      </w:pPr>
      <w:r>
        <w:rPr>
          <w:rFonts w:ascii="Times New Roman" w:hAnsi="Times New Roman" w:eastAsia="Times New Roman"/>
          <w:sz w:val="24"/>
        </w:rPr>
        <w:t>Mô hình được huấn luyện bằng contrastive learning hai chiều. Trong mỗi batch, ECG đúng và báo cáo tương ứng được kéo gần nhau trong không gian embedding, trong khi các cặp không tương ứng bị đẩy xa. Nghiên cứu sử dụng chiến lược hai giai đoạn: đầu tiên đóng băng phần lớn trọng số CLIP và huấn luyện phần tích chập mới; sau đó fine-tune toàn bộ mô hình.</w:t>
      </w:r>
    </w:p>
    <w:p>
      <w:pPr>
        <w:pStyle w:val="Heading1"/>
      </w:pPr>
      <w:r>
        <w:t>4. Cơ chế chẩn đoán zero-shot</w:t>
      </w:r>
    </w:p>
    <w:p>
      <w:pPr>
        <w:spacing w:line="276" w:lineRule="auto" w:after="120"/>
        <w:jc w:val="both"/>
      </w:pPr>
      <w:r>
        <w:rPr>
          <w:rFonts w:ascii="Times New Roman" w:hAnsi="Times New Roman" w:eastAsia="Times New Roman"/>
          <w:sz w:val="24"/>
        </w:rPr>
        <w:t>Ở giai đoạn suy luận, một ECG được mã hóa thành vector đặc trưng. Các mô tả bệnh lý như “atrial fibrillation or atrial flutter” và mô tả âm tính “other” cũng được mã hóa thành vector văn bản. Độ tương đồng cosine giữa hai loại embedding được chuyển thành xác suất để đưa ra dự đoán. Nhờ đó, cùng một mô hình có thể đánh giá nhiều tình trạng tim mạch bằng cách thay đổi câu mô tả đầu vào.</w:t>
      </w:r>
    </w:p>
    <w:p>
      <w:pPr>
        <w:pStyle w:val="Heading1"/>
      </w:pPr>
      <w:r>
        <w:t>5. Kết quả chính</w:t>
      </w:r>
    </w:p>
    <w:p>
      <w:pPr>
        <w:spacing w:line="276" w:lineRule="auto" w:after="120"/>
        <w:jc w:val="both"/>
      </w:pPr>
      <w:r>
        <w:rPr>
          <w:rFonts w:ascii="Times New Roman" w:hAnsi="Times New Roman" w:eastAsia="Times New Roman"/>
          <w:sz w:val="24"/>
        </w:rPr>
        <w:t>ECG-CLIP được đánh giá trên 18 tình trạng tim mạch ở tập kiểm tra nội bộ và 14 tình trạng ở tập ngoài. Mô hình đạt hiệu quả cao nhất với các bất thường về nhịp và dẫn truyền, nhưng yếu hơn rõ rệt đối với các bất thường hình thái.</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shd w:fill="D9EAF7"/>
          </w:tcPr>
          <w:p>
            <w:pPr>
              <w:jc w:val="left"/>
            </w:pPr>
            <w:r/>
            <w:r>
              <w:rPr>
                <w:rFonts w:ascii="Times New Roman" w:hAnsi="Times New Roman" w:eastAsia="Times New Roman"/>
                <w:b/>
                <w:sz w:val="19"/>
              </w:rPr>
              <w:t>Tình trạng</w:t>
            </w:r>
          </w:p>
        </w:tc>
        <w:tc>
          <w:tcPr>
            <w:tcW w:type="dxa" w:w="2422"/>
            <w:vAlign w:val="center"/>
            <w:shd w:fill="D9EAF7"/>
          </w:tcPr>
          <w:p>
            <w:pPr>
              <w:jc w:val="left"/>
            </w:pPr>
            <w:r/>
            <w:r>
              <w:rPr>
                <w:rFonts w:ascii="Times New Roman" w:hAnsi="Times New Roman" w:eastAsia="Times New Roman"/>
                <w:b/>
                <w:sz w:val="19"/>
              </w:rPr>
              <w:t>AUROC nội bộ</w:t>
            </w:r>
          </w:p>
        </w:tc>
        <w:tc>
          <w:tcPr>
            <w:tcW w:type="dxa" w:w="2422"/>
            <w:vAlign w:val="center"/>
            <w:shd w:fill="D9EAF7"/>
          </w:tcPr>
          <w:p>
            <w:pPr>
              <w:jc w:val="left"/>
            </w:pPr>
            <w:r/>
            <w:r>
              <w:rPr>
                <w:rFonts w:ascii="Times New Roman" w:hAnsi="Times New Roman" w:eastAsia="Times New Roman"/>
                <w:b/>
                <w:sz w:val="19"/>
              </w:rPr>
              <w:t>AUROC ngoài</w:t>
            </w:r>
          </w:p>
        </w:tc>
        <w:tc>
          <w:tcPr>
            <w:tcW w:type="dxa" w:w="2422"/>
            <w:vAlign w:val="center"/>
            <w:shd w:fill="D9EAF7"/>
          </w:tcPr>
          <w:p>
            <w:pPr>
              <w:jc w:val="left"/>
            </w:pPr>
            <w:r/>
            <w:r>
              <w:rPr>
                <w:rFonts w:ascii="Times New Roman" w:hAnsi="Times New Roman" w:eastAsia="Times New Roman"/>
                <w:b/>
                <w:sz w:val="19"/>
              </w:rPr>
              <w:t>Nhận xét</w:t>
            </w:r>
          </w:p>
        </w:tc>
      </w:tr>
      <w:tr>
        <w:tc>
          <w:tcPr>
            <w:tcW w:type="dxa" w:w="2422"/>
            <w:vAlign w:val="center"/>
          </w:tcPr>
          <w:p>
            <w:pPr>
              <w:jc w:val="left"/>
            </w:pPr>
            <w:r/>
            <w:r>
              <w:rPr>
                <w:rFonts w:ascii="Times New Roman" w:hAnsi="Times New Roman" w:eastAsia="Times New Roman"/>
                <w:b w:val="0"/>
                <w:sz w:val="18"/>
              </w:rPr>
              <w:t>Rung nhĩ/cuồng nhĩ</w:t>
            </w:r>
          </w:p>
        </w:tc>
        <w:tc>
          <w:tcPr>
            <w:tcW w:type="dxa" w:w="2422"/>
            <w:vAlign w:val="center"/>
          </w:tcPr>
          <w:p>
            <w:pPr>
              <w:jc w:val="left"/>
            </w:pPr>
            <w:r/>
            <w:r>
              <w:rPr>
                <w:rFonts w:ascii="Times New Roman" w:hAnsi="Times New Roman" w:eastAsia="Times New Roman"/>
                <w:b w:val="0"/>
                <w:sz w:val="18"/>
              </w:rPr>
              <w:t>0,956</w:t>
            </w:r>
          </w:p>
        </w:tc>
        <w:tc>
          <w:tcPr>
            <w:tcW w:type="dxa" w:w="2422"/>
            <w:vAlign w:val="center"/>
          </w:tcPr>
          <w:p>
            <w:pPr>
              <w:jc w:val="left"/>
            </w:pPr>
            <w:r/>
            <w:r>
              <w:rPr>
                <w:rFonts w:ascii="Times New Roman" w:hAnsi="Times New Roman" w:eastAsia="Times New Roman"/>
                <w:b w:val="0"/>
                <w:sz w:val="18"/>
              </w:rPr>
              <w:t>0,949</w:t>
            </w:r>
          </w:p>
        </w:tc>
        <w:tc>
          <w:tcPr>
            <w:tcW w:type="dxa" w:w="2422"/>
            <w:vAlign w:val="center"/>
          </w:tcPr>
          <w:p>
            <w:pPr>
              <w:jc w:val="left"/>
            </w:pPr>
            <w:r/>
            <w:r>
              <w:rPr>
                <w:rFonts w:ascii="Times New Roman" w:hAnsi="Times New Roman" w:eastAsia="Times New Roman"/>
                <w:b w:val="0"/>
                <w:sz w:val="18"/>
              </w:rPr>
              <w:t>Ổn định và tổng quát hóa tốt</w:t>
            </w:r>
          </w:p>
        </w:tc>
      </w:tr>
      <w:tr>
        <w:tc>
          <w:tcPr>
            <w:tcW w:type="dxa" w:w="2422"/>
            <w:vAlign w:val="center"/>
          </w:tcPr>
          <w:p>
            <w:pPr>
              <w:jc w:val="left"/>
            </w:pPr>
            <w:r/>
            <w:r>
              <w:rPr>
                <w:rFonts w:ascii="Times New Roman" w:hAnsi="Times New Roman" w:eastAsia="Times New Roman"/>
                <w:b w:val="0"/>
                <w:sz w:val="18"/>
              </w:rPr>
              <w:t>Nhịp nhanh xoang</w:t>
            </w:r>
          </w:p>
        </w:tc>
        <w:tc>
          <w:tcPr>
            <w:tcW w:type="dxa" w:w="2422"/>
            <w:vAlign w:val="center"/>
          </w:tcPr>
          <w:p>
            <w:pPr>
              <w:jc w:val="left"/>
            </w:pPr>
            <w:r/>
            <w:r>
              <w:rPr>
                <w:rFonts w:ascii="Times New Roman" w:hAnsi="Times New Roman" w:eastAsia="Times New Roman"/>
                <w:b w:val="0"/>
                <w:sz w:val="18"/>
              </w:rPr>
              <w:t>0,982</w:t>
            </w:r>
          </w:p>
        </w:tc>
        <w:tc>
          <w:tcPr>
            <w:tcW w:type="dxa" w:w="2422"/>
            <w:vAlign w:val="center"/>
          </w:tcPr>
          <w:p>
            <w:pPr>
              <w:jc w:val="left"/>
            </w:pPr>
            <w:r/>
            <w:r>
              <w:rPr>
                <w:rFonts w:ascii="Times New Roman" w:hAnsi="Times New Roman" w:eastAsia="Times New Roman"/>
                <w:b w:val="0"/>
                <w:sz w:val="18"/>
              </w:rPr>
              <w:t>0,959</w:t>
            </w:r>
          </w:p>
        </w:tc>
        <w:tc>
          <w:tcPr>
            <w:tcW w:type="dxa" w:w="2422"/>
            <w:vAlign w:val="center"/>
          </w:tcPr>
          <w:p>
            <w:pPr>
              <w:jc w:val="left"/>
            </w:pPr>
            <w:r/>
            <w:r>
              <w:rPr>
                <w:rFonts w:ascii="Times New Roman" w:hAnsi="Times New Roman" w:eastAsia="Times New Roman"/>
                <w:b w:val="0"/>
                <w:sz w:val="18"/>
              </w:rPr>
              <w:t>Hiệu quả cao</w:t>
            </w:r>
          </w:p>
        </w:tc>
      </w:tr>
      <w:tr>
        <w:tc>
          <w:tcPr>
            <w:tcW w:type="dxa" w:w="2422"/>
            <w:vAlign w:val="center"/>
          </w:tcPr>
          <w:p>
            <w:pPr>
              <w:jc w:val="left"/>
            </w:pPr>
            <w:r/>
            <w:r>
              <w:rPr>
                <w:rFonts w:ascii="Times New Roman" w:hAnsi="Times New Roman" w:eastAsia="Times New Roman"/>
                <w:b w:val="0"/>
                <w:sz w:val="18"/>
              </w:rPr>
              <w:t>Nhịp chậm xoang</w:t>
            </w:r>
          </w:p>
        </w:tc>
        <w:tc>
          <w:tcPr>
            <w:tcW w:type="dxa" w:w="2422"/>
            <w:vAlign w:val="center"/>
          </w:tcPr>
          <w:p>
            <w:pPr>
              <w:jc w:val="left"/>
            </w:pPr>
            <w:r/>
            <w:r>
              <w:rPr>
                <w:rFonts w:ascii="Times New Roman" w:hAnsi="Times New Roman" w:eastAsia="Times New Roman"/>
                <w:b w:val="0"/>
                <w:sz w:val="18"/>
              </w:rPr>
              <w:t>0,981</w:t>
            </w:r>
          </w:p>
        </w:tc>
        <w:tc>
          <w:tcPr>
            <w:tcW w:type="dxa" w:w="2422"/>
            <w:vAlign w:val="center"/>
          </w:tcPr>
          <w:p>
            <w:pPr>
              <w:jc w:val="left"/>
            </w:pPr>
            <w:r/>
            <w:r>
              <w:rPr>
                <w:rFonts w:ascii="Times New Roman" w:hAnsi="Times New Roman" w:eastAsia="Times New Roman"/>
                <w:b w:val="0"/>
                <w:sz w:val="18"/>
              </w:rPr>
              <w:t>0,985</w:t>
            </w:r>
          </w:p>
        </w:tc>
        <w:tc>
          <w:tcPr>
            <w:tcW w:type="dxa" w:w="2422"/>
            <w:vAlign w:val="center"/>
          </w:tcPr>
          <w:p>
            <w:pPr>
              <w:jc w:val="left"/>
            </w:pPr>
            <w:r/>
            <w:r>
              <w:rPr>
                <w:rFonts w:ascii="Times New Roman" w:hAnsi="Times New Roman" w:eastAsia="Times New Roman"/>
                <w:b w:val="0"/>
                <w:sz w:val="18"/>
              </w:rPr>
              <w:t>Hiệu quả rất cao</w:t>
            </w:r>
          </w:p>
        </w:tc>
      </w:tr>
      <w:tr>
        <w:tc>
          <w:tcPr>
            <w:tcW w:type="dxa" w:w="2422"/>
            <w:vAlign w:val="center"/>
          </w:tcPr>
          <w:p>
            <w:pPr>
              <w:jc w:val="left"/>
            </w:pPr>
            <w:r/>
            <w:r>
              <w:rPr>
                <w:rFonts w:ascii="Times New Roman" w:hAnsi="Times New Roman" w:eastAsia="Times New Roman"/>
                <w:b w:val="0"/>
                <w:sz w:val="18"/>
              </w:rPr>
              <w:t>Block nhánh phải</w:t>
            </w:r>
          </w:p>
        </w:tc>
        <w:tc>
          <w:tcPr>
            <w:tcW w:type="dxa" w:w="2422"/>
            <w:vAlign w:val="center"/>
          </w:tcPr>
          <w:p>
            <w:pPr>
              <w:jc w:val="left"/>
            </w:pPr>
            <w:r/>
            <w:r>
              <w:rPr>
                <w:rFonts w:ascii="Times New Roman" w:hAnsi="Times New Roman" w:eastAsia="Times New Roman"/>
                <w:b w:val="0"/>
                <w:sz w:val="18"/>
              </w:rPr>
              <w:t>0,971</w:t>
            </w:r>
          </w:p>
        </w:tc>
        <w:tc>
          <w:tcPr>
            <w:tcW w:type="dxa" w:w="2422"/>
            <w:vAlign w:val="center"/>
          </w:tcPr>
          <w:p>
            <w:pPr>
              <w:jc w:val="left"/>
            </w:pPr>
            <w:r/>
            <w:r>
              <w:rPr>
                <w:rFonts w:ascii="Times New Roman" w:hAnsi="Times New Roman" w:eastAsia="Times New Roman"/>
                <w:b w:val="0"/>
                <w:sz w:val="18"/>
              </w:rPr>
              <w:t>0,969</w:t>
            </w:r>
          </w:p>
        </w:tc>
        <w:tc>
          <w:tcPr>
            <w:tcW w:type="dxa" w:w="2422"/>
            <w:vAlign w:val="center"/>
          </w:tcPr>
          <w:p>
            <w:pPr>
              <w:jc w:val="left"/>
            </w:pPr>
            <w:r/>
            <w:r>
              <w:rPr>
                <w:rFonts w:ascii="Times New Roman" w:hAnsi="Times New Roman" w:eastAsia="Times New Roman"/>
                <w:b w:val="0"/>
                <w:sz w:val="18"/>
              </w:rPr>
              <w:t>AUROC cao nhưng precision ngoài thấp</w:t>
            </w:r>
          </w:p>
        </w:tc>
      </w:tr>
      <w:tr>
        <w:tc>
          <w:tcPr>
            <w:tcW w:type="dxa" w:w="2422"/>
            <w:vAlign w:val="center"/>
          </w:tcPr>
          <w:p>
            <w:pPr>
              <w:jc w:val="left"/>
            </w:pPr>
            <w:r/>
            <w:r>
              <w:rPr>
                <w:rFonts w:ascii="Times New Roman" w:hAnsi="Times New Roman" w:eastAsia="Times New Roman"/>
                <w:b w:val="0"/>
                <w:sz w:val="18"/>
              </w:rPr>
              <w:t>Block nhánh trái</w:t>
            </w:r>
          </w:p>
        </w:tc>
        <w:tc>
          <w:tcPr>
            <w:tcW w:type="dxa" w:w="2422"/>
            <w:vAlign w:val="center"/>
          </w:tcPr>
          <w:p>
            <w:pPr>
              <w:jc w:val="left"/>
            </w:pPr>
            <w:r/>
            <w:r>
              <w:rPr>
                <w:rFonts w:ascii="Times New Roman" w:hAnsi="Times New Roman" w:eastAsia="Times New Roman"/>
                <w:b w:val="0"/>
                <w:sz w:val="18"/>
              </w:rPr>
              <w:t>0,974</w:t>
            </w:r>
          </w:p>
        </w:tc>
        <w:tc>
          <w:tcPr>
            <w:tcW w:type="dxa" w:w="2422"/>
            <w:vAlign w:val="center"/>
          </w:tcPr>
          <w:p>
            <w:pPr>
              <w:jc w:val="left"/>
            </w:pPr>
            <w:r/>
            <w:r>
              <w:rPr>
                <w:rFonts w:ascii="Times New Roman" w:hAnsi="Times New Roman" w:eastAsia="Times New Roman"/>
                <w:b w:val="0"/>
                <w:sz w:val="18"/>
              </w:rPr>
              <w:t>0,940</w:t>
            </w:r>
          </w:p>
        </w:tc>
        <w:tc>
          <w:tcPr>
            <w:tcW w:type="dxa" w:w="2422"/>
            <w:vAlign w:val="center"/>
          </w:tcPr>
          <w:p>
            <w:pPr>
              <w:jc w:val="left"/>
            </w:pPr>
            <w:r/>
            <w:r>
              <w:rPr>
                <w:rFonts w:ascii="Times New Roman" w:hAnsi="Times New Roman" w:eastAsia="Times New Roman"/>
                <w:b w:val="0"/>
                <w:sz w:val="18"/>
              </w:rPr>
              <w:t>Tổng quát hóa tốt theo AUROC</w:t>
            </w:r>
          </w:p>
        </w:tc>
      </w:tr>
      <w:tr>
        <w:tc>
          <w:tcPr>
            <w:tcW w:type="dxa" w:w="2422"/>
            <w:vAlign w:val="center"/>
          </w:tcPr>
          <w:p>
            <w:pPr>
              <w:jc w:val="left"/>
            </w:pPr>
            <w:r/>
            <w:r>
              <w:rPr>
                <w:rFonts w:ascii="Times New Roman" w:hAnsi="Times New Roman" w:eastAsia="Times New Roman"/>
                <w:b w:val="0"/>
                <w:sz w:val="18"/>
              </w:rPr>
              <w:t>Phì đại thất trái</w:t>
            </w:r>
          </w:p>
        </w:tc>
        <w:tc>
          <w:tcPr>
            <w:tcW w:type="dxa" w:w="2422"/>
            <w:vAlign w:val="center"/>
          </w:tcPr>
          <w:p>
            <w:pPr>
              <w:jc w:val="left"/>
            </w:pPr>
            <w:r/>
            <w:r>
              <w:rPr>
                <w:rFonts w:ascii="Times New Roman" w:hAnsi="Times New Roman" w:eastAsia="Times New Roman"/>
                <w:b w:val="0"/>
                <w:sz w:val="18"/>
              </w:rPr>
              <w:t>0,704</w:t>
            </w:r>
          </w:p>
        </w:tc>
        <w:tc>
          <w:tcPr>
            <w:tcW w:type="dxa" w:w="2422"/>
            <w:vAlign w:val="center"/>
          </w:tcPr>
          <w:p>
            <w:pPr>
              <w:jc w:val="left"/>
            </w:pPr>
            <w:r/>
            <w:r>
              <w:rPr>
                <w:rFonts w:ascii="Times New Roman" w:hAnsi="Times New Roman" w:eastAsia="Times New Roman"/>
                <w:b w:val="0"/>
                <w:sz w:val="18"/>
              </w:rPr>
              <w:t>0,638</w:t>
            </w:r>
          </w:p>
        </w:tc>
        <w:tc>
          <w:tcPr>
            <w:tcW w:type="dxa" w:w="2422"/>
            <w:vAlign w:val="center"/>
          </w:tcPr>
          <w:p>
            <w:pPr>
              <w:jc w:val="left"/>
            </w:pPr>
            <w:r/>
            <w:r>
              <w:rPr>
                <w:rFonts w:ascii="Times New Roman" w:hAnsi="Times New Roman" w:eastAsia="Times New Roman"/>
                <w:b w:val="0"/>
                <w:sz w:val="18"/>
              </w:rPr>
              <w:t>Khó phát hiện bằng giám sát văn bản</w:t>
            </w:r>
          </w:p>
        </w:tc>
      </w:tr>
      <w:tr>
        <w:tc>
          <w:tcPr>
            <w:tcW w:type="dxa" w:w="2422"/>
            <w:vAlign w:val="center"/>
          </w:tcPr>
          <w:p>
            <w:pPr>
              <w:jc w:val="left"/>
            </w:pPr>
            <w:r/>
            <w:r>
              <w:rPr>
                <w:rFonts w:ascii="Times New Roman" w:hAnsi="Times New Roman" w:eastAsia="Times New Roman"/>
                <w:b w:val="0"/>
                <w:sz w:val="18"/>
              </w:rPr>
              <w:t>Biến đổi ST-T</w:t>
            </w:r>
          </w:p>
        </w:tc>
        <w:tc>
          <w:tcPr>
            <w:tcW w:type="dxa" w:w="2422"/>
            <w:vAlign w:val="center"/>
          </w:tcPr>
          <w:p>
            <w:pPr>
              <w:jc w:val="left"/>
            </w:pPr>
            <w:r/>
            <w:r>
              <w:rPr>
                <w:rFonts w:ascii="Times New Roman" w:hAnsi="Times New Roman" w:eastAsia="Times New Roman"/>
                <w:b w:val="0"/>
                <w:sz w:val="18"/>
              </w:rPr>
              <w:t>0,474</w:t>
            </w:r>
          </w:p>
        </w:tc>
        <w:tc>
          <w:tcPr>
            <w:tcW w:type="dxa" w:w="2422"/>
            <w:vAlign w:val="center"/>
          </w:tcPr>
          <w:p>
            <w:pPr>
              <w:jc w:val="left"/>
            </w:pPr>
            <w:r/>
            <w:r>
              <w:rPr>
                <w:rFonts w:ascii="Times New Roman" w:hAnsi="Times New Roman" w:eastAsia="Times New Roman"/>
                <w:b w:val="0"/>
                <w:sz w:val="18"/>
              </w:rPr>
              <w:t>0,558</w:t>
            </w:r>
          </w:p>
        </w:tc>
        <w:tc>
          <w:tcPr>
            <w:tcW w:type="dxa" w:w="2422"/>
            <w:vAlign w:val="center"/>
          </w:tcPr>
          <w:p>
            <w:pPr>
              <w:jc w:val="left"/>
            </w:pPr>
            <w:r/>
            <w:r>
              <w:rPr>
                <w:rFonts w:ascii="Times New Roman" w:hAnsi="Times New Roman" w:eastAsia="Times New Roman"/>
                <w:b w:val="0"/>
                <w:sz w:val="18"/>
              </w:rPr>
              <w:t>Hiệu quả thấp với prompt chuẩn</w:t>
            </w:r>
          </w:p>
        </w:tc>
      </w:tr>
      <w:tr>
        <w:tc>
          <w:tcPr>
            <w:tcW w:type="dxa" w:w="2422"/>
            <w:vAlign w:val="center"/>
          </w:tcPr>
          <w:p>
            <w:pPr>
              <w:jc w:val="left"/>
            </w:pPr>
            <w:r/>
            <w:r>
              <w:rPr>
                <w:rFonts w:ascii="Times New Roman" w:hAnsi="Times New Roman" w:eastAsia="Times New Roman"/>
                <w:b w:val="0"/>
                <w:sz w:val="18"/>
              </w:rPr>
              <w:t>QT kéo dài</w:t>
            </w:r>
          </w:p>
        </w:tc>
        <w:tc>
          <w:tcPr>
            <w:tcW w:type="dxa" w:w="2422"/>
            <w:vAlign w:val="center"/>
          </w:tcPr>
          <w:p>
            <w:pPr>
              <w:jc w:val="left"/>
            </w:pPr>
            <w:r/>
            <w:r>
              <w:rPr>
                <w:rFonts w:ascii="Times New Roman" w:hAnsi="Times New Roman" w:eastAsia="Times New Roman"/>
                <w:b w:val="0"/>
                <w:sz w:val="18"/>
              </w:rPr>
              <w:t>0,760</w:t>
            </w:r>
          </w:p>
        </w:tc>
        <w:tc>
          <w:tcPr>
            <w:tcW w:type="dxa" w:w="2422"/>
            <w:vAlign w:val="center"/>
          </w:tcPr>
          <w:p>
            <w:pPr>
              <w:jc w:val="left"/>
            </w:pPr>
            <w:r/>
            <w:r>
              <w:rPr>
                <w:rFonts w:ascii="Times New Roman" w:hAnsi="Times New Roman" w:eastAsia="Times New Roman"/>
                <w:b w:val="0"/>
                <w:sz w:val="18"/>
              </w:rPr>
              <w:t>0,797</w:t>
            </w:r>
          </w:p>
        </w:tc>
        <w:tc>
          <w:tcPr>
            <w:tcW w:type="dxa" w:w="2422"/>
            <w:vAlign w:val="center"/>
          </w:tcPr>
          <w:p>
            <w:pPr>
              <w:jc w:val="left"/>
            </w:pPr>
            <w:r/>
            <w:r>
              <w:rPr>
                <w:rFonts w:ascii="Times New Roman" w:hAnsi="Times New Roman" w:eastAsia="Times New Roman"/>
                <w:b w:val="0"/>
                <w:sz w:val="18"/>
              </w:rPr>
              <w:t>AUPRC và precision thấp</w:t>
            </w:r>
          </w:p>
        </w:tc>
      </w:tr>
    </w:tbl>
    <w:p>
      <w:pPr>
        <w:spacing w:line="276" w:lineRule="auto" w:after="120"/>
        <w:jc w:val="both"/>
      </w:pPr>
      <w:r>
        <w:rPr>
          <w:rFonts w:ascii="Times New Roman" w:hAnsi="Times New Roman" w:eastAsia="Times New Roman"/>
          <w:sz w:val="24"/>
        </w:rPr>
        <w:t>Đối với rung nhĩ/cuồng nhĩ, mô hình đạt AUROC 0,956 ở kiểm tra nội bộ và 0,949 ở đánh giá ngoài. Nhịp chậm xoang đạt AUROC 0,981 và 0,985. Ngược lại, biến đổi ST-T chỉ đạt AUROC 0,474 ở nội bộ, cho thấy mô hình khó học các đặc điểm hình thái tinh tế nếu báo cáo văn bản không mô tả đủ chi tiết.</w:t>
      </w:r>
    </w:p>
    <w:p>
      <w:pPr>
        <w:pStyle w:val="Heading1"/>
      </w:pPr>
      <w:r>
        <w:t>6. Các phân tích sâu đáng chú ý</w:t>
      </w:r>
    </w:p>
    <w:p>
      <w:pPr>
        <w:pStyle w:val="ListBullet"/>
        <w:spacing w:after="60" w:line="264" w:lineRule="auto"/>
      </w:pPr>
      <w:r>
        <w:rPr>
          <w:rFonts w:ascii="Times New Roman" w:hAnsi="Times New Roman" w:eastAsia="Times New Roman"/>
          <w:sz w:val="23"/>
        </w:rPr>
        <w:t>Khả năng tổng quát hóa: thứ hạng AUROC giữa đánh giá nội bộ và ngoài có tương quan Spearman ρ = 0,934, cho thấy các bệnh dễ hoặc khó nhận diện có xu hướng giữ nguyên giữa hai bộ dữ liệu.</w:t>
      </w:r>
    </w:p>
    <w:p>
      <w:pPr>
        <w:pStyle w:val="ListBullet"/>
        <w:spacing w:after="60" w:line="264" w:lineRule="auto"/>
      </w:pPr>
      <w:r>
        <w:rPr>
          <w:rFonts w:ascii="Times New Roman" w:hAnsi="Times New Roman" w:eastAsia="Times New Roman"/>
          <w:sz w:val="23"/>
        </w:rPr>
        <w:t>So sánh mô hình có giám sát: ECG-CLIP gần đạt hiệu quả của các mô hình supervised ở nhiều bệnh; trong đánh giá ngoài, mô hình còn có lợi thế AUROC đối với LBBB và block nhĩ-thất độ một.</w:t>
      </w:r>
    </w:p>
    <w:p>
      <w:pPr>
        <w:pStyle w:val="ListBullet"/>
        <w:spacing w:after="60" w:line="264" w:lineRule="auto"/>
      </w:pPr>
      <w:r>
        <w:rPr>
          <w:rFonts w:ascii="Times New Roman" w:hAnsi="Times New Roman" w:eastAsia="Times New Roman"/>
          <w:sz w:val="23"/>
        </w:rPr>
        <w:t>Phân tích tuổi và giới: hiệu quả có xu hướng giảm ở nhóm rất trẻ và rất cao tuổi, trong khi chênh lệch tổng thể giữa nam và nữ tương đối nhỏ.</w:t>
      </w:r>
    </w:p>
    <w:p>
      <w:pPr>
        <w:pStyle w:val="ListBullet"/>
        <w:spacing w:after="60" w:line="264" w:lineRule="auto"/>
      </w:pPr>
      <w:r>
        <w:rPr>
          <w:rFonts w:ascii="Times New Roman" w:hAnsi="Times New Roman" w:eastAsia="Times New Roman"/>
          <w:sz w:val="23"/>
        </w:rPr>
        <w:t>Phân tích lỗi: rung nhĩ là nguồn dương tính giả phổ biến cho nhiều rối loạn nhịp. Đặc biệt, rung nhĩ có đáp ứng thất chậm dễ bị nhầm với nhịp chậm xoang.</w:t>
      </w:r>
    </w:p>
    <w:p>
      <w:pPr>
        <w:pStyle w:val="ListBullet"/>
        <w:spacing w:after="60" w:line="264" w:lineRule="auto"/>
      </w:pPr>
      <w:r>
        <w:rPr>
          <w:rFonts w:ascii="Times New Roman" w:hAnsi="Times New Roman" w:eastAsia="Times New Roman"/>
          <w:sz w:val="23"/>
        </w:rPr>
        <w:t>Tối ưu prompt: mô tả giải phẫu cụ thể giúp AUROC phát hiện biến đổi ST-T tăng khoảng 0,368 ở tập nội bộ và 0,218 ở tập ngoài, nhưng có sự đánh đổi với độ nhạy.</w:t>
      </w:r>
    </w:p>
    <w:p>
      <w:pPr>
        <w:pStyle w:val="Heading1"/>
      </w:pPr>
      <w:r>
        <w:t>7. Điểm mạnh của nghiên cứu</w:t>
      </w:r>
    </w:p>
    <w:p>
      <w:pPr>
        <w:pStyle w:val="ListBullet"/>
        <w:spacing w:after="60" w:line="264" w:lineRule="auto"/>
      </w:pPr>
      <w:r>
        <w:rPr>
          <w:rFonts w:ascii="Times New Roman" w:hAnsi="Times New Roman" w:eastAsia="Times New Roman"/>
          <w:sz w:val="23"/>
        </w:rPr>
        <w:t>Thay thế nhiều mô hình theo từng bệnh bằng một mô hình thống nhất có thể truy vấn bằng ngôn ngữ tự nhiên.</w:t>
      </w:r>
    </w:p>
    <w:p>
      <w:pPr>
        <w:pStyle w:val="ListBullet"/>
        <w:spacing w:after="60" w:line="264" w:lineRule="auto"/>
      </w:pPr>
      <w:r>
        <w:rPr>
          <w:rFonts w:ascii="Times New Roman" w:hAnsi="Times New Roman" w:eastAsia="Times New Roman"/>
          <w:sz w:val="23"/>
        </w:rPr>
        <w:t>Khai thác trực tiếp cặp ECG-báo cáo vốn đã tồn tại trong thực hành lâm sàng, giảm nhu cầu gán nhãn thủ công riêng cho từng tác vụ.</w:t>
      </w:r>
    </w:p>
    <w:p>
      <w:pPr>
        <w:pStyle w:val="ListBullet"/>
        <w:spacing w:after="60" w:line="264" w:lineRule="auto"/>
      </w:pPr>
      <w:r>
        <w:rPr>
          <w:rFonts w:ascii="Times New Roman" w:hAnsi="Times New Roman" w:eastAsia="Times New Roman"/>
          <w:sz w:val="23"/>
        </w:rPr>
        <w:t>Đánh giá trên quy mô lớn, chia dữ liệu theo bệnh nhân và có kiểm chứng ngoài.</w:t>
      </w:r>
    </w:p>
    <w:p>
      <w:pPr>
        <w:pStyle w:val="ListBullet"/>
        <w:spacing w:after="60" w:line="264" w:lineRule="auto"/>
      </w:pPr>
      <w:r>
        <w:rPr>
          <w:rFonts w:ascii="Times New Roman" w:hAnsi="Times New Roman" w:eastAsia="Times New Roman"/>
          <w:sz w:val="23"/>
        </w:rPr>
        <w:t>Không chỉ báo cáo AUROC mà còn phân tích AUPRC, lỗi nhầm lẫn, nhóm nhân khẩu học, cường độ chăm sóc và ảnh hưởng của prompt.</w:t>
      </w:r>
    </w:p>
    <w:p>
      <w:pPr>
        <w:pStyle w:val="ListBullet"/>
        <w:spacing w:after="60" w:line="264" w:lineRule="auto"/>
      </w:pPr>
      <w:r>
        <w:rPr>
          <w:rFonts w:ascii="Times New Roman" w:hAnsi="Times New Roman" w:eastAsia="Times New Roman"/>
          <w:sz w:val="23"/>
        </w:rPr>
        <w:t>Cho thấy khả năng thích ứng với các khái niệm mới thông qua mô tả văn bản thay vì huấn luyện lại toàn bộ mô hình.</w:t>
      </w:r>
    </w:p>
    <w:p>
      <w:pPr>
        <w:pStyle w:val="Heading1"/>
      </w:pPr>
      <w:r>
        <w:t>8. Hạn chế</w:t>
      </w:r>
    </w:p>
    <w:p>
      <w:pPr>
        <w:pStyle w:val="ListBullet"/>
        <w:spacing w:after="60" w:line="264" w:lineRule="auto"/>
      </w:pPr>
      <w:r>
        <w:rPr>
          <w:rFonts w:ascii="Times New Roman" w:hAnsi="Times New Roman" w:eastAsia="Times New Roman"/>
          <w:sz w:val="23"/>
        </w:rPr>
        <w:t>Báo cáo MIMIC-IV-ECG chủ yếu do máy ECG sinh ra, không phải nhãn vàng từ đồng thuận của nhiều bác sĩ tim mạch.</w:t>
      </w:r>
    </w:p>
    <w:p>
      <w:pPr>
        <w:pStyle w:val="ListBullet"/>
        <w:spacing w:after="60" w:line="264" w:lineRule="auto"/>
      </w:pPr>
      <w:r>
        <w:rPr>
          <w:rFonts w:ascii="Times New Roman" w:hAnsi="Times New Roman" w:eastAsia="Times New Roman"/>
          <w:sz w:val="23"/>
        </w:rPr>
        <w:t>Ngôn ngữ báo cáo có mức chuẩn hóa rất cao; chỉ khoảng 0,1% câu hoặc cụm từ là duy nhất, làm hạn chế sự đa dạng ngôn ngữ mà mô hình được học.</w:t>
      </w:r>
    </w:p>
    <w:p>
      <w:pPr>
        <w:pStyle w:val="ListBullet"/>
        <w:spacing w:after="60" w:line="264" w:lineRule="auto"/>
      </w:pPr>
      <w:r>
        <w:rPr>
          <w:rFonts w:ascii="Times New Roman" w:hAnsi="Times New Roman" w:eastAsia="Times New Roman"/>
          <w:sz w:val="23"/>
        </w:rPr>
        <w:t>Các bất thường hình thái như LVH, ST-T, QT kéo dài và điện thế QRS thấp có precision và AUPRC thấp.</w:t>
      </w:r>
    </w:p>
    <w:p>
      <w:pPr>
        <w:pStyle w:val="ListBullet"/>
        <w:spacing w:after="60" w:line="264" w:lineRule="auto"/>
      </w:pPr>
      <w:r>
        <w:rPr>
          <w:rFonts w:ascii="Times New Roman" w:hAnsi="Times New Roman" w:eastAsia="Times New Roman"/>
          <w:sz w:val="23"/>
        </w:rPr>
        <w:t>Mô hình chưa có cơ chế giải thích trực tiếp vùng tín hiệu hoặc chuyển đạo làm cơ sở cho dự đoán.</w:t>
      </w:r>
    </w:p>
    <w:p>
      <w:pPr>
        <w:pStyle w:val="ListBullet"/>
        <w:spacing w:after="60" w:line="264" w:lineRule="auto"/>
      </w:pPr>
      <w:r>
        <w:rPr>
          <w:rFonts w:ascii="Times New Roman" w:hAnsi="Times New Roman" w:eastAsia="Times New Roman"/>
          <w:sz w:val="23"/>
        </w:rPr>
        <w:t>Zero-shot không đồng nghĩa với sẵn sàng triển khai lâm sàng; vẫn cần kiểm chứng đa trung tâm, đánh giá tiền cứu và giám sát bởi chuyên gia.</w:t>
      </w:r>
    </w:p>
    <w:p>
      <w:pPr>
        <w:pStyle w:val="Heading1"/>
      </w:pPr>
      <w:r>
        <w:t>9. Ý nghĩa đối với hướng nghiên cứu trên MIMIC-IV-ECG</w:t>
      </w:r>
    </w:p>
    <w:p>
      <w:pPr>
        <w:spacing w:line="276" w:lineRule="auto" w:after="120"/>
        <w:jc w:val="both"/>
      </w:pPr>
      <w:r>
        <w:rPr>
          <w:rFonts w:ascii="Times New Roman" w:hAnsi="Times New Roman" w:eastAsia="Times New Roman"/>
          <w:sz w:val="24"/>
        </w:rPr>
        <w:t>Bài báo chứng minh MIMIC-IV-ECG không chỉ phù hợp cho phân loại có giám sát mà còn có thể dùng để học biểu diễn đa phương thức giữa tín hiệu và văn bản. Tuy nhiên, việc lặp lại nguyên mô hình ECG-CLIP sẽ khó tạo đóng góp mới. Khoảng trống nổi bật nhất nằm ở khả năng nhận diện các bất thường hình thái, giải thích quyết định và cải thiện độ an toàn của dự đoán.</w:t>
      </w:r>
    </w:p>
    <w:p>
      <w:pPr>
        <w:spacing w:line="276" w:lineRule="auto" w:after="120"/>
        <w:jc w:val="both"/>
      </w:pPr>
      <w:r>
        <w:rPr>
          <w:rFonts w:ascii="Times New Roman" w:hAnsi="Times New Roman" w:eastAsia="Times New Roman"/>
          <w:sz w:val="24"/>
        </w:rPr>
        <w:t>Một hướng kế thừa phù hợp có thể là xây dựng mô hình ECG-ngôn ngữ được bổ sung giám sát định lượng từ các phép đo RR, PR, QRS, QT/QTc và trục điện học. Các phép đo này không phải mục tiêu nghiên cứu chính mà đóng vai trò tín hiệu bổ sung, giúp mô hình tập trung vào những đặc điểm hình thái mà báo cáo văn bản mô tả chưa đầy đủ. Nghiên cứu có thể tập trung vào ST-T, QT kéo dài, LVH hoặc điện thế QRS thấp, đồng thời bổ sung giải thích theo chuyển đạo và đánh giá độ tin cậy.</w:t>
      </w:r>
    </w:p>
    <w:p>
      <w:pPr>
        <w:pStyle w:val="Heading1"/>
      </w:pPr>
      <w:r>
        <w:t>10. Kết luận</w:t>
      </w:r>
    </w:p>
    <w:p>
      <w:pPr>
        <w:spacing w:line="276" w:lineRule="auto" w:after="120"/>
        <w:jc w:val="both"/>
      </w:pPr>
      <w:r>
        <w:rPr>
          <w:rFonts w:ascii="Times New Roman" w:hAnsi="Times New Roman" w:eastAsia="Times New Roman"/>
          <w:sz w:val="24"/>
        </w:rPr>
        <w:t>ECG-CLIP là một nghiên cứu quan trọng trong xu hướng mô hình nền tảng ECG-ngôn ngữ. Công trình cho thấy giám sát bằng ngôn ngữ tự nhiên có thể tạo ra một mô hình chẩn đoán zero-shot tương đối linh hoạt, đặc biệt hiệu quả đối với rối loạn nhịp và dẫn truyền. Tuy nhiên, kết quả thấp ở các bất thường hình thái, sự phụ thuộc vào báo cáo máy và thiếu khả năng giải thích cho thấy mô hình chưa thể thay thế các hệ thống chẩn đoán chuyên biệt hoặc bác sĩ. Giá trị lớn nhất của bài báo là mở ra cách tiếp cận thống nhất, trong đó các khả năng chẩn đoán mới có thể được bổ sung bằng truy vấn văn bản thay vì xây dựng lại toàn bộ mô hình.</w:t>
      </w:r>
    </w:p>
    <w:p>
      <w:pPr>
        <w:pStyle w:val="Heading1"/>
      </w:pPr>
      <w:r>
        <w:t>Tài liệu tham khảo</w:t>
      </w:r>
    </w:p>
    <w:p>
      <w:pPr>
        <w:spacing w:after="80"/>
        <w:ind w:hanging="340" w:left="340"/>
      </w:pPr>
      <w:r>
        <w:rPr>
          <w:rFonts w:ascii="Times New Roman" w:hAnsi="Times New Roman" w:eastAsia="Times New Roman"/>
          <w:sz w:val="22"/>
        </w:rPr>
        <w:t>Zhou, X., Li, T., Hayama, H., Nakamura, K., Liu, S.-H., Chen, W., &amp; Zhu, X. (2025). Diagnosis of cardiac conditions from 12-lead electrocardiogram through natural language supervision. npj Digital Medicine, 8, 697. https://doi.org/10.1038/s41746-025-02074-3.</w:t>
      </w:r>
    </w:p>
    <w:sectPr w:rsidR="00FC693F" w:rsidRPr="0006063C" w:rsidSect="00034616">
      <w:footerReference w:type="default" r:id="rId9"/>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18"/>
      </w:rPr>
      <w:t>Báo cáo tóm tắt ECG-CLIP 2025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