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3402"/>
        <w:gridCol w:w="5669"/>
      </w:tblGrid>
      <w:tr>
        <w:tc>
          <w:tcPr>
            <w:tcW w:type="dxa" w:w="3402"/>
            <w:tcMar>
              <w:top w:w="0" w:type="dxa"/>
              <w:start w:w="0" w:type="dxa"/>
              <w:bottom w:w="0" w:type="dxa"/>
              <w:end w:w="0" w:type="dxa"/>
            </w:tcMar>
          </w:tcPr>
          <w:p>
            <w:pPr>
              <w:jc w:val="center"/>
            </w:pPr>
            <w:r>
              <w:rPr>
                <w:rFonts w:ascii="Times New Roman" w:hAnsi="Times New Roman" w:eastAsia="Times New Roman"/>
                <w:b w:val="0"/>
                <w:i w:val="0"/>
                <w:sz w:val="26"/>
                <w:u w:val="none"/>
              </w:rPr>
              <w:t>BỘ TÀI CHÍNH</w:t>
            </w:r>
          </w:p>
          <w:p>
            <w:pPr>
              <w:jc w:val="center"/>
            </w:pPr>
            <w:r>
              <w:rPr>
                <w:rFonts w:ascii="Times New Roman" w:hAnsi="Times New Roman" w:eastAsia="Times New Roman"/>
                <w:b/>
                <w:i w:val="0"/>
                <w:sz w:val="26"/>
                <w:u w:val="single"/>
              </w:rPr>
              <w:t>BẢO HIỂM XÃ HỘI VIỆT NAM</w:t>
            </w:r>
          </w:p>
          <w:p>
            <w:pPr>
              <w:spacing w:before="600"/>
              <w:jc w:val="center"/>
            </w:pPr>
            <w:r>
              <w:rPr>
                <w:rFonts w:ascii="Times New Roman" w:hAnsi="Times New Roman" w:eastAsia="Times New Roman"/>
                <w:b w:val="0"/>
                <w:i w:val="0"/>
                <w:sz w:val="26"/>
                <w:u w:val="none"/>
              </w:rPr>
              <w:t>Số:      /KH-BHXH</w:t>
            </w:r>
          </w:p>
        </w:tc>
        <w:tc>
          <w:tcPr>
            <w:tcW w:type="dxa" w:w="5669"/>
            <w:tcMar>
              <w:top w:w="0" w:type="dxa"/>
              <w:start w:w="0" w:type="dxa"/>
              <w:bottom w:w="0" w:type="dxa"/>
              <w:end w:w="0" w:type="dxa"/>
            </w:tcMar>
          </w:tcPr>
          <w:p>
            <w:pPr>
              <w:jc w:val="center"/>
            </w:pPr>
            <w:r>
              <w:rPr>
                <w:rFonts w:ascii="Times New Roman" w:hAnsi="Times New Roman" w:eastAsia="Times New Roman"/>
                <w:b/>
                <w:i w:val="0"/>
                <w:sz w:val="26"/>
                <w:u w:val="none"/>
              </w:rPr>
              <w:t>CỘNG HÒA XÃ HỘI CHỦ NGHĨA VIỆT NAM</w:t>
            </w:r>
          </w:p>
          <w:p>
            <w:pPr>
              <w:jc w:val="center"/>
            </w:pPr>
            <w:r>
              <w:rPr>
                <w:rFonts w:ascii="Times New Roman" w:hAnsi="Times New Roman" w:eastAsia="Times New Roman"/>
                <w:b/>
                <w:i w:val="0"/>
                <w:sz w:val="28"/>
                <w:u w:val="single"/>
              </w:rPr>
              <w:t>Độc lập - Tự do - Hạnh phúc</w:t>
            </w:r>
          </w:p>
          <w:p>
            <w:pPr>
              <w:spacing w:before="600"/>
              <w:jc w:val="center"/>
            </w:pPr>
            <w:r>
              <w:rPr>
                <w:rFonts w:ascii="Times New Roman" w:hAnsi="Times New Roman" w:eastAsia="Times New Roman"/>
                <w:b w:val="0"/>
                <w:i/>
                <w:sz w:val="26"/>
                <w:u w:val="none"/>
              </w:rPr>
              <w:t>Hà Nội, ngày     tháng     năm 2026</w:t>
            </w:r>
          </w:p>
        </w:tc>
      </w:tr>
    </w:tbl>
    <w:p>
      <w:pPr>
        <w:spacing w:before="360" w:after="80"/>
        <w:jc w:val="center"/>
      </w:pPr>
      <w:r>
        <w:rPr>
          <w:rFonts w:ascii="Times New Roman" w:hAnsi="Times New Roman" w:eastAsia="Times New Roman"/>
          <w:b/>
          <w:i w:val="0"/>
          <w:sz w:val="28"/>
          <w:u w:val="none"/>
        </w:rPr>
        <w:t>KẾ HOẠCH</w:t>
      </w:r>
    </w:p>
    <w:p>
      <w:pPr>
        <w:spacing w:after="40"/>
        <w:jc w:val="center"/>
      </w:pPr>
      <w:r>
        <w:rPr>
          <w:rFonts w:ascii="Times New Roman" w:hAnsi="Times New Roman" w:eastAsia="Times New Roman"/>
          <w:b/>
          <w:i w:val="0"/>
          <w:sz w:val="28"/>
          <w:u w:val="none"/>
        </w:rPr>
        <w:t>Tổ chức Hội nghị trực tuyến hướng dẫn chuẩn hóa danh mục liên thông dữ liệu</w:t>
      </w:r>
    </w:p>
    <w:p>
      <w:pPr>
        <w:spacing w:after="40"/>
        <w:jc w:val="center"/>
      </w:pPr>
      <w:r>
        <w:rPr>
          <w:rFonts w:ascii="Times New Roman" w:hAnsi="Times New Roman" w:eastAsia="Times New Roman"/>
          <w:b/>
          <w:i w:val="0"/>
          <w:sz w:val="28"/>
          <w:u w:val="none"/>
        </w:rPr>
        <w:t>và lập biểu mẫu đề nghị thanh toán chi phí khám bệnh, chữa bệnh bảo hiểm y tế</w:t>
      </w:r>
    </w:p>
    <w:p>
      <w:pPr>
        <w:spacing w:after="280"/>
        <w:jc w:val="center"/>
      </w:pPr>
      <w:r>
        <w:rPr>
          <w:rFonts w:ascii="Times New Roman" w:hAnsi="Times New Roman" w:eastAsia="Times New Roman"/>
          <w:b/>
          <w:i w:val="0"/>
          <w:sz w:val="28"/>
          <w:u w:val="none"/>
        </w:rPr>
        <w:t>theo Thông tư số 12/2026/TT-BTC ngày 10/02/2026 của Bộ Tài chính</w:t>
      </w:r>
    </w:p>
    <w:p>
      <w:pPr>
        <w:spacing w:after="120" w:before="0" w:line="312" w:lineRule="auto"/>
        <w:ind w:firstLine="709"/>
      </w:pPr>
      <w:r>
        <w:rPr>
          <w:rFonts w:ascii="Times New Roman" w:hAnsi="Times New Roman" w:eastAsia="Times New Roman"/>
          <w:b w:val="0"/>
          <w:i w:val="0"/>
          <w:sz w:val="26"/>
          <w:u w:val="none"/>
        </w:rPr>
        <w:t xml:space="preserve">Thực hiện </w:t>
      </w:r>
      <w:r>
        <w:rPr>
          <w:rFonts w:ascii="Times New Roman" w:hAnsi="Times New Roman" w:eastAsia="Times New Roman"/>
          <w:b w:val="0"/>
          <w:i w:val="0"/>
          <w:sz w:val="26"/>
          <w:highlight w:val="yellow"/>
          <w:u w:val="none"/>
        </w:rPr>
        <w:t>Thông tư số 12/2026/TT-BTC</w:t>
      </w:r>
      <w:r>
        <w:rPr>
          <w:rFonts w:ascii="Times New Roman" w:hAnsi="Times New Roman" w:eastAsia="Times New Roman"/>
          <w:b w:val="0"/>
          <w:i w:val="0"/>
          <w:sz w:val="26"/>
          <w:u w:val="none"/>
        </w:rPr>
        <w:t xml:space="preserve"> ngày 10/02/2026 của Bộ Tài chính quy định trình tự, thủ tục giám định chi phí khám bệnh, chữa bệnh (KCB) bảo hiểm y tế (BHYT), biểu mẫu tổng hợp thanh toán, quyết toán và biện pháp thi hành </w:t>
      </w:r>
      <w:r>
        <w:rPr>
          <w:rFonts w:ascii="Times New Roman" w:hAnsi="Times New Roman" w:eastAsia="Times New Roman"/>
          <w:b w:val="0"/>
          <w:i w:val="0"/>
          <w:sz w:val="26"/>
          <w:highlight w:val="yellow"/>
          <w:u w:val="none"/>
        </w:rPr>
        <w:t>Nghị định số 188/2025/NĐ-CP</w:t>
      </w:r>
      <w:r>
        <w:rPr>
          <w:rFonts w:ascii="Times New Roman" w:hAnsi="Times New Roman" w:eastAsia="Times New Roman"/>
          <w:b w:val="0"/>
          <w:i w:val="0"/>
          <w:sz w:val="26"/>
          <w:u w:val="none"/>
        </w:rPr>
        <w:t xml:space="preserve"> ngày 01/7/2025 của Chính phủ và </w:t>
      </w:r>
      <w:r>
        <w:rPr>
          <w:rFonts w:ascii="Times New Roman" w:hAnsi="Times New Roman" w:eastAsia="Times New Roman"/>
          <w:b w:val="0"/>
          <w:i w:val="0"/>
          <w:sz w:val="26"/>
          <w:highlight w:val="yellow"/>
          <w:u w:val="none"/>
        </w:rPr>
        <w:t>Kế hoạch số 668/KH-BHXH</w:t>
      </w:r>
      <w:r>
        <w:rPr>
          <w:rFonts w:ascii="Times New Roman" w:hAnsi="Times New Roman" w:eastAsia="Times New Roman"/>
          <w:b w:val="0"/>
          <w:i w:val="0"/>
          <w:sz w:val="26"/>
          <w:u w:val="none"/>
        </w:rPr>
        <w:t xml:space="preserve"> ngày 13/3/2026 của Bảo hiểm xã hội Việt Nam về tổ chức Hội nghị tập huấn trình tự, thủ tục giám định chi phí KCB BHYT; để tiếp tục hỗ trợ các cơ sở khám bệnh, chữa bệnh (KCB) BHYT chuẩn hóa </w:t>
      </w:r>
      <w:r>
        <w:rPr>
          <w:rFonts w:ascii="Times New Roman" w:hAnsi="Times New Roman" w:eastAsia="Times New Roman"/>
          <w:b w:val="0"/>
          <w:i w:val="0"/>
          <w:sz w:val="26"/>
          <w:highlight w:val="yellow"/>
          <w:u w:val="none"/>
        </w:rPr>
        <w:t>06 bảng danh mục</w:t>
      </w:r>
      <w:r>
        <w:rPr>
          <w:rFonts w:ascii="Times New Roman" w:hAnsi="Times New Roman" w:eastAsia="Times New Roman"/>
          <w:b w:val="0"/>
          <w:i w:val="0"/>
          <w:sz w:val="26"/>
          <w:u w:val="none"/>
        </w:rPr>
        <w:t xml:space="preserve"> sử dụng trong liên thông dữ liệu và thao tác lập, gửi dữ liệu đề nghị thanh toán chi phí KCB BHYT trực tiếp trên phần mềm, Bảo hiểm xã hội Việt Nam ban hành Kế hoạch tổ chức Hội nghị trực tuyến hướng dẫn, cụ thể như sau:</w:t>
      </w:r>
    </w:p>
    <w:p>
      <w:pPr>
        <w:spacing w:before="200" w:after="120" w:line="312" w:lineRule="auto"/>
      </w:pPr>
      <w:r>
        <w:rPr>
          <w:rFonts w:ascii="Times New Roman" w:hAnsi="Times New Roman" w:eastAsia="Times New Roman"/>
          <w:b/>
          <w:i w:val="0"/>
          <w:color w:val="C00000"/>
          <w:sz w:val="26"/>
          <w:u w:val="none"/>
        </w:rPr>
        <w:t>I. MỤC ĐÍCH, YÊU CẦU</w:t>
      </w:r>
    </w:p>
    <w:p>
      <w:pPr>
        <w:spacing w:after="120" w:before="0" w:line="312" w:lineRule="auto"/>
        <w:ind w:firstLine="709"/>
      </w:pPr>
      <w:r>
        <w:rPr>
          <w:rFonts w:ascii="Times New Roman" w:hAnsi="Times New Roman" w:eastAsia="Times New Roman"/>
          <w:b w:val="0"/>
          <w:i w:val="0"/>
          <w:sz w:val="26"/>
          <w:u w:val="none"/>
        </w:rPr>
        <w:t xml:space="preserve">1. Hướng dẫn các cơ sở KCB BHYT chuẩn hóa </w:t>
      </w:r>
      <w:r>
        <w:rPr>
          <w:rFonts w:ascii="Times New Roman" w:hAnsi="Times New Roman" w:eastAsia="Times New Roman"/>
          <w:b w:val="0"/>
          <w:i w:val="0"/>
          <w:sz w:val="26"/>
          <w:highlight w:val="yellow"/>
          <w:u w:val="none"/>
        </w:rPr>
        <w:t>06 bảng danh mục</w:t>
      </w:r>
      <w:r>
        <w:rPr>
          <w:rFonts w:ascii="Times New Roman" w:hAnsi="Times New Roman" w:eastAsia="Times New Roman"/>
          <w:b w:val="0"/>
          <w:i w:val="0"/>
          <w:sz w:val="26"/>
          <w:u w:val="none"/>
        </w:rPr>
        <w:t xml:space="preserve"> sử dụng trong liên thông dữ liệu KCB BHYT theo quy định tại </w:t>
      </w:r>
      <w:r>
        <w:rPr>
          <w:rFonts w:ascii="Times New Roman" w:hAnsi="Times New Roman" w:eastAsia="Times New Roman"/>
          <w:b w:val="0"/>
          <w:i w:val="0"/>
          <w:sz w:val="26"/>
          <w:highlight w:val="yellow"/>
          <w:u w:val="none"/>
        </w:rPr>
        <w:t>Thông tư số 12/2026/TT-BTC</w:t>
      </w:r>
      <w:r>
        <w:rPr>
          <w:rFonts w:ascii="Times New Roman" w:hAnsi="Times New Roman" w:eastAsia="Times New Roman"/>
          <w:b w:val="0"/>
          <w:i w:val="0"/>
          <w:sz w:val="26"/>
          <w:u w:val="none"/>
        </w:rPr>
        <w:t xml:space="preserve"> ngày 10/02/2026 của Bộ Tài chính.</w:t>
      </w:r>
    </w:p>
    <w:p>
      <w:pPr>
        <w:spacing w:after="120" w:before="0" w:line="312" w:lineRule="auto"/>
        <w:ind w:firstLine="709"/>
      </w:pPr>
      <w:r>
        <w:rPr>
          <w:rFonts w:ascii="Times New Roman" w:hAnsi="Times New Roman" w:eastAsia="Times New Roman"/>
          <w:b w:val="0"/>
          <w:i w:val="0"/>
          <w:sz w:val="26"/>
          <w:u w:val="none"/>
        </w:rPr>
        <w:t>2. Hướng dẫn cơ sở KCB BHYT thao tác lập Bảng kê chi tiết điều chỉnh (</w:t>
      </w:r>
      <w:r>
        <w:rPr>
          <w:rFonts w:ascii="Times New Roman" w:hAnsi="Times New Roman" w:eastAsia="Times New Roman"/>
          <w:b w:val="0"/>
          <w:i w:val="0"/>
          <w:sz w:val="26"/>
          <w:highlight w:val="yellow"/>
          <w:u w:val="none"/>
        </w:rPr>
        <w:t>Mẫu 09/BH</w:t>
      </w:r>
      <w:r>
        <w:rPr>
          <w:rFonts w:ascii="Times New Roman" w:hAnsi="Times New Roman" w:eastAsia="Times New Roman"/>
          <w:b w:val="0"/>
          <w:i w:val="0"/>
          <w:sz w:val="26"/>
          <w:u w:val="none"/>
        </w:rPr>
        <w:t>) và đối chiếu số liệu đề nghị thanh toán (</w:t>
      </w:r>
      <w:r>
        <w:rPr>
          <w:rFonts w:ascii="Times New Roman" w:hAnsi="Times New Roman" w:eastAsia="Times New Roman"/>
          <w:b w:val="0"/>
          <w:i w:val="0"/>
          <w:sz w:val="26"/>
          <w:highlight w:val="yellow"/>
          <w:u w:val="none"/>
        </w:rPr>
        <w:t>Mẫu 01/BH</w:t>
      </w:r>
      <w:r>
        <w:rPr>
          <w:rFonts w:ascii="Times New Roman" w:hAnsi="Times New Roman" w:eastAsia="Times New Roman"/>
          <w:b w:val="0"/>
          <w:i w:val="0"/>
          <w:sz w:val="26"/>
          <w:u w:val="none"/>
        </w:rPr>
        <w:t>) trực tiếp trên Hệ thống thông tin giám định BHYT.</w:t>
      </w:r>
    </w:p>
    <w:p>
      <w:pPr>
        <w:spacing w:after="120" w:before="0" w:line="312" w:lineRule="auto"/>
        <w:ind w:firstLine="709"/>
      </w:pPr>
      <w:r>
        <w:rPr>
          <w:rFonts w:ascii="Times New Roman" w:hAnsi="Times New Roman" w:eastAsia="Times New Roman"/>
          <w:b w:val="0"/>
          <w:i w:val="0"/>
          <w:sz w:val="26"/>
          <w:u w:val="none"/>
        </w:rPr>
        <w:t>3. Kịp thời trao đổi, giải đáp vướng mắc phát sinh của cơ sở KCB BHYT trong quá trình chuẩn hóa danh mục và lập, gửi dữ liệu đề nghị thanh toán chi phí KCB BHYT.</w:t>
      </w:r>
    </w:p>
    <w:p>
      <w:pPr>
        <w:spacing w:after="120" w:before="0" w:line="312" w:lineRule="auto"/>
        <w:ind w:firstLine="709"/>
      </w:pPr>
      <w:r>
        <w:rPr>
          <w:rFonts w:ascii="Times New Roman" w:hAnsi="Times New Roman" w:eastAsia="Times New Roman"/>
          <w:b w:val="0"/>
          <w:i w:val="0"/>
          <w:sz w:val="26"/>
          <w:u w:val="none"/>
        </w:rPr>
        <w:t>4. Hội nghị tổ chức đảm bảo thiết thực, hiệu quả, tiết kiệm.</w:t>
      </w:r>
    </w:p>
    <w:p>
      <w:pPr>
        <w:spacing w:before="200" w:after="120" w:line="312" w:lineRule="auto"/>
      </w:pPr>
      <w:r>
        <w:rPr>
          <w:rFonts w:ascii="Times New Roman" w:hAnsi="Times New Roman" w:eastAsia="Times New Roman"/>
          <w:b/>
          <w:i w:val="0"/>
          <w:color w:val="C00000"/>
          <w:sz w:val="26"/>
          <w:u w:val="none"/>
        </w:rPr>
        <w:t>II. NỘI DUNG HỘI NGHỊ</w:t>
      </w:r>
    </w:p>
    <w:p>
      <w:pPr>
        <w:spacing w:after="120" w:before="0" w:line="312" w:lineRule="auto"/>
        <w:ind w:firstLine="709"/>
      </w:pPr>
      <w:r>
        <w:rPr>
          <w:rFonts w:ascii="Times New Roman" w:hAnsi="Times New Roman" w:eastAsia="Times New Roman"/>
          <w:b w:val="0"/>
          <w:i w:val="0"/>
          <w:sz w:val="26"/>
          <w:u w:val="none"/>
        </w:rPr>
        <w:t>Hội nghị tổ chức trong 1/2 ngày với các nội dung chính:</w:t>
      </w:r>
    </w:p>
    <w:p>
      <w:pPr>
        <w:spacing w:after="120" w:before="0" w:line="312" w:lineRule="auto"/>
        <w:ind w:firstLine="709"/>
      </w:pPr>
      <w:r>
        <w:rPr>
          <w:rFonts w:ascii="Times New Roman" w:hAnsi="Times New Roman" w:eastAsia="Times New Roman"/>
          <w:b w:val="0"/>
          <w:i w:val="0"/>
          <w:sz w:val="26"/>
          <w:u w:val="none"/>
        </w:rPr>
        <w:t xml:space="preserve">1. Một số nội dung của </w:t>
      </w:r>
      <w:r>
        <w:rPr>
          <w:rFonts w:ascii="Times New Roman" w:hAnsi="Times New Roman" w:eastAsia="Times New Roman"/>
          <w:b w:val="0"/>
          <w:i w:val="0"/>
          <w:sz w:val="26"/>
          <w:highlight w:val="yellow"/>
          <w:u w:val="none"/>
        </w:rPr>
        <w:t>Thông tư số 12/2026/TT-BTC</w:t>
      </w:r>
      <w:r>
        <w:rPr>
          <w:rFonts w:ascii="Times New Roman" w:hAnsi="Times New Roman" w:eastAsia="Times New Roman"/>
          <w:b w:val="0"/>
          <w:i w:val="0"/>
          <w:sz w:val="26"/>
          <w:u w:val="none"/>
        </w:rPr>
        <w:t xml:space="preserve"> liên quan đến cơ sở KCB BHYT (30 phút).</w:t>
      </w:r>
    </w:p>
    <w:p>
      <w:pPr>
        <w:spacing w:after="120" w:before="0" w:line="312" w:lineRule="auto"/>
        <w:ind w:firstLine="709"/>
      </w:pPr>
      <w:r>
        <w:rPr>
          <w:rFonts w:ascii="Times New Roman" w:hAnsi="Times New Roman" w:eastAsia="Times New Roman"/>
          <w:b w:val="0"/>
          <w:i w:val="0"/>
          <w:sz w:val="26"/>
          <w:u w:val="none"/>
        </w:rPr>
        <w:t xml:space="preserve">2. Hướng dẫn một số nội dung lập </w:t>
      </w:r>
      <w:r>
        <w:rPr>
          <w:rFonts w:ascii="Times New Roman" w:hAnsi="Times New Roman" w:eastAsia="Times New Roman"/>
          <w:b w:val="0"/>
          <w:i w:val="0"/>
          <w:sz w:val="26"/>
          <w:highlight w:val="yellow"/>
          <w:u w:val="none"/>
        </w:rPr>
        <w:t>06 bảng danh mục</w:t>
      </w:r>
      <w:r>
        <w:rPr>
          <w:rFonts w:ascii="Times New Roman" w:hAnsi="Times New Roman" w:eastAsia="Times New Roman"/>
          <w:b w:val="0"/>
          <w:i w:val="0"/>
          <w:sz w:val="26"/>
          <w:u w:val="none"/>
        </w:rPr>
        <w:t xml:space="preserve"> sử dụng trong liên thông dữ liệu KCB BHYT (60 phút).</w:t>
      </w:r>
    </w:p>
    <w:p>
      <w:pPr>
        <w:spacing w:after="120" w:before="0" w:line="312" w:lineRule="auto"/>
        <w:ind w:firstLine="709"/>
      </w:pPr>
      <w:r>
        <w:rPr>
          <w:rFonts w:ascii="Times New Roman" w:hAnsi="Times New Roman" w:eastAsia="Times New Roman"/>
          <w:b w:val="0"/>
          <w:i w:val="0"/>
          <w:sz w:val="26"/>
          <w:u w:val="none"/>
        </w:rPr>
        <w:t>3. Hướng dẫn lập Bảng kê chi tiết điều chỉnh (</w:t>
      </w:r>
      <w:r>
        <w:rPr>
          <w:rFonts w:ascii="Times New Roman" w:hAnsi="Times New Roman" w:eastAsia="Times New Roman"/>
          <w:b w:val="0"/>
          <w:i w:val="0"/>
          <w:sz w:val="26"/>
          <w:highlight w:val="yellow"/>
          <w:u w:val="none"/>
        </w:rPr>
        <w:t>Mẫu 09/BH</w:t>
      </w:r>
      <w:r>
        <w:rPr>
          <w:rFonts w:ascii="Times New Roman" w:hAnsi="Times New Roman" w:eastAsia="Times New Roman"/>
          <w:b w:val="0"/>
          <w:i w:val="0"/>
          <w:sz w:val="26"/>
          <w:u w:val="none"/>
        </w:rPr>
        <w:t>) (30 phút).</w:t>
      </w:r>
    </w:p>
    <w:p>
      <w:pPr>
        <w:spacing w:after="120" w:before="0" w:line="312" w:lineRule="auto"/>
        <w:ind w:firstLine="709"/>
      </w:pPr>
      <w:r>
        <w:rPr>
          <w:rFonts w:ascii="Times New Roman" w:hAnsi="Times New Roman" w:eastAsia="Times New Roman"/>
          <w:b w:val="0"/>
          <w:i w:val="0"/>
          <w:sz w:val="26"/>
          <w:u w:val="none"/>
        </w:rPr>
        <w:t>4. Hướng dẫn đối chiếu số liệu đề nghị thanh toán (</w:t>
      </w:r>
      <w:r>
        <w:rPr>
          <w:rFonts w:ascii="Times New Roman" w:hAnsi="Times New Roman" w:eastAsia="Times New Roman"/>
          <w:b w:val="0"/>
          <w:i w:val="0"/>
          <w:sz w:val="26"/>
          <w:highlight w:val="yellow"/>
          <w:u w:val="none"/>
        </w:rPr>
        <w:t>Mẫu 01/BH</w:t>
      </w:r>
      <w:r>
        <w:rPr>
          <w:rFonts w:ascii="Times New Roman" w:hAnsi="Times New Roman" w:eastAsia="Times New Roman"/>
          <w:b w:val="0"/>
          <w:i w:val="0"/>
          <w:sz w:val="26"/>
          <w:u w:val="none"/>
        </w:rPr>
        <w:t>) (15 phút).</w:t>
      </w:r>
    </w:p>
    <w:p>
      <w:pPr>
        <w:spacing w:after="120" w:before="0" w:line="312" w:lineRule="auto"/>
        <w:ind w:firstLine="709"/>
      </w:pPr>
      <w:r>
        <w:rPr>
          <w:rFonts w:ascii="Times New Roman" w:hAnsi="Times New Roman" w:eastAsia="Times New Roman"/>
          <w:b w:val="0"/>
          <w:i w:val="0"/>
          <w:sz w:val="26"/>
          <w:u w:val="none"/>
        </w:rPr>
        <w:t>5. Giải lao (15 phút).</w:t>
      </w:r>
    </w:p>
    <w:p>
      <w:pPr>
        <w:spacing w:after="120" w:before="0" w:line="312" w:lineRule="auto"/>
        <w:ind w:firstLine="709"/>
      </w:pPr>
      <w:r>
        <w:rPr>
          <w:rFonts w:ascii="Times New Roman" w:hAnsi="Times New Roman" w:eastAsia="Times New Roman"/>
          <w:b w:val="0"/>
          <w:i w:val="0"/>
          <w:sz w:val="26"/>
          <w:u w:val="none"/>
        </w:rPr>
        <w:t>6. Giải đáp vướng mắc của cơ sở KCB BHYT (60 phút).</w:t>
      </w:r>
    </w:p>
    <w:p>
      <w:pPr>
        <w:spacing w:after="120" w:before="0" w:line="312" w:lineRule="auto"/>
        <w:ind w:firstLine="709"/>
      </w:pPr>
      <w:r>
        <w:rPr>
          <w:rFonts w:ascii="Times New Roman" w:hAnsi="Times New Roman" w:eastAsia="Times New Roman"/>
          <w:b w:val="0"/>
          <w:i w:val="0"/>
          <w:sz w:val="26"/>
          <w:u w:val="none"/>
        </w:rPr>
        <w:t>(Chương trình chi tiết tại Phụ lục kèm theo Kế hoạch này)</w:t>
      </w:r>
    </w:p>
    <w:p>
      <w:pPr>
        <w:spacing w:before="200" w:after="120" w:line="312" w:lineRule="auto"/>
      </w:pPr>
      <w:r>
        <w:rPr>
          <w:rFonts w:ascii="Times New Roman" w:hAnsi="Times New Roman" w:eastAsia="Times New Roman"/>
          <w:b/>
          <w:i w:val="0"/>
          <w:color w:val="C00000"/>
          <w:sz w:val="26"/>
          <w:u w:val="none"/>
        </w:rPr>
        <w:t>III. THỜI GIAN, HÌNH THỨC VÀ THÀNH PHẦN THAM DỰ</w:t>
      </w:r>
    </w:p>
    <w:p>
      <w:pPr>
        <w:spacing w:after="120" w:before="0" w:line="312" w:lineRule="auto"/>
        <w:ind w:firstLine="709"/>
      </w:pPr>
      <w:r>
        <w:rPr>
          <w:rFonts w:ascii="Times New Roman" w:hAnsi="Times New Roman" w:eastAsia="Times New Roman"/>
          <w:b w:val="0"/>
          <w:i w:val="0"/>
          <w:sz w:val="26"/>
          <w:u w:val="none"/>
        </w:rPr>
        <w:t xml:space="preserve">1. Thời gian: 1/2 ngày (buổi sáng), Thứ Sáu, </w:t>
      </w:r>
      <w:r>
        <w:rPr>
          <w:rFonts w:ascii="Times New Roman" w:hAnsi="Times New Roman" w:eastAsia="Times New Roman"/>
          <w:b w:val="0"/>
          <w:i w:val="0"/>
          <w:sz w:val="26"/>
          <w:highlight w:val="cyan"/>
          <w:u w:val="none"/>
        </w:rPr>
        <w:t>ngày 31/7/2026</w:t>
      </w:r>
      <w:r>
        <w:rPr>
          <w:rFonts w:ascii="Times New Roman" w:hAnsi="Times New Roman" w:eastAsia="Times New Roman"/>
          <w:b w:val="0"/>
          <w:i w:val="0"/>
          <w:sz w:val="26"/>
          <w:u w:val="none"/>
        </w:rPr>
        <w:t>.</w:t>
      </w:r>
    </w:p>
    <w:p>
      <w:pPr>
        <w:spacing w:after="120" w:before="0" w:line="312" w:lineRule="auto"/>
        <w:ind w:firstLine="709"/>
      </w:pPr>
      <w:r>
        <w:rPr>
          <w:rFonts w:ascii="Times New Roman" w:hAnsi="Times New Roman" w:eastAsia="Times New Roman"/>
          <w:b w:val="0"/>
          <w:i w:val="0"/>
          <w:sz w:val="26"/>
          <w:u w:val="none"/>
        </w:rPr>
        <w:t xml:space="preserve">2. Hình thức: Hội nghị tổ chức theo </w:t>
      </w:r>
      <w:r>
        <w:rPr>
          <w:rFonts w:ascii="Times New Roman" w:hAnsi="Times New Roman" w:eastAsia="Times New Roman"/>
          <w:b w:val="0"/>
          <w:i w:val="0"/>
          <w:sz w:val="26"/>
          <w:highlight w:val="cyan"/>
          <w:u w:val="none"/>
        </w:rPr>
        <w:t>hình thức trực tuyến</w:t>
      </w:r>
      <w:r>
        <w:rPr>
          <w:rFonts w:ascii="Times New Roman" w:hAnsi="Times New Roman" w:eastAsia="Times New Roman"/>
          <w:b w:val="0"/>
          <w:i w:val="0"/>
          <w:sz w:val="26"/>
          <w:u w:val="none"/>
        </w:rPr>
        <w:t>, kết nối điểm cầu Bảo hiểm xã hội Việt Nam với điểm cầu Bảo hiểm xã hội các tỉnh, thành phố và các cơ sở KCB BHYT.</w:t>
      </w:r>
    </w:p>
    <w:p>
      <w:pPr>
        <w:spacing w:after="120" w:before="0" w:line="312" w:lineRule="auto"/>
        <w:ind w:firstLine="709"/>
      </w:pPr>
      <w:r>
        <w:rPr>
          <w:rFonts w:ascii="Times New Roman" w:hAnsi="Times New Roman" w:eastAsia="Times New Roman"/>
          <w:b w:val="0"/>
          <w:i w:val="0"/>
          <w:sz w:val="26"/>
          <w:u w:val="none"/>
        </w:rPr>
        <w:t>3. Thành phần tham dự:</w:t>
      </w:r>
    </w:p>
    <w:p>
      <w:pPr>
        <w:spacing w:after="120" w:before="0" w:line="312" w:lineRule="auto"/>
        <w:ind w:firstLine="709"/>
      </w:pPr>
      <w:r>
        <w:rPr>
          <w:rFonts w:ascii="Times New Roman" w:hAnsi="Times New Roman" w:eastAsia="Times New Roman"/>
          <w:b w:val="0"/>
          <w:i w:val="0"/>
          <w:sz w:val="26"/>
          <w:u w:val="none"/>
        </w:rPr>
        <w:t xml:space="preserve">- Điểm cầu Bảo hiểm xã hội Việt Nam: Lãnh đạo </w:t>
      </w:r>
      <w:r>
        <w:rPr>
          <w:rFonts w:ascii="Times New Roman" w:hAnsi="Times New Roman" w:eastAsia="Times New Roman"/>
          <w:b w:val="0"/>
          <w:i w:val="0"/>
          <w:sz w:val="26"/>
          <w:highlight w:val="cyan"/>
          <w:u w:val="none"/>
        </w:rPr>
        <w:t>Ban Thực hiện chính sách BHYT</w:t>
      </w:r>
      <w:r>
        <w:rPr>
          <w:rFonts w:ascii="Times New Roman" w:hAnsi="Times New Roman" w:eastAsia="Times New Roman"/>
          <w:b w:val="0"/>
          <w:i w:val="0"/>
          <w:sz w:val="26"/>
          <w:u w:val="none"/>
        </w:rPr>
        <w:t xml:space="preserve">; lãnh đạo và viên chức </w:t>
      </w:r>
      <w:r>
        <w:rPr>
          <w:rFonts w:ascii="Times New Roman" w:hAnsi="Times New Roman" w:eastAsia="Times New Roman"/>
          <w:b w:val="0"/>
          <w:i w:val="0"/>
          <w:sz w:val="26"/>
          <w:highlight w:val="cyan"/>
          <w:u w:val="none"/>
        </w:rPr>
        <w:t>Trung tâm Kiểm soát thanh toán BHXH, BHYT điện tử</w:t>
      </w:r>
      <w:r>
        <w:rPr>
          <w:rFonts w:ascii="Times New Roman" w:hAnsi="Times New Roman" w:eastAsia="Times New Roman"/>
          <w:b w:val="0"/>
          <w:i w:val="0"/>
          <w:sz w:val="26"/>
          <w:u w:val="none"/>
        </w:rPr>
        <w:t>; viên chức Trung tâm Công nghệ thông tin phụ trách kỹ thuật đường truyền.</w:t>
      </w:r>
    </w:p>
    <w:p>
      <w:pPr>
        <w:spacing w:after="120" w:before="0" w:line="312" w:lineRule="auto"/>
        <w:ind w:firstLine="709"/>
      </w:pPr>
      <w:r>
        <w:rPr>
          <w:rFonts w:ascii="Times New Roman" w:hAnsi="Times New Roman" w:eastAsia="Times New Roman"/>
          <w:b w:val="0"/>
          <w:i w:val="0"/>
          <w:sz w:val="26"/>
          <w:u w:val="none"/>
        </w:rPr>
        <w:t>- Điểm cầu Bảo hiểm xã hội các tỉnh, thành phố: lãnh đạo phòng và viên chức làm công tác giám định chi phí KCB BHYT.</w:t>
      </w:r>
    </w:p>
    <w:p>
      <w:pPr>
        <w:spacing w:after="120" w:before="0" w:line="312" w:lineRule="auto"/>
        <w:ind w:firstLine="709"/>
      </w:pPr>
      <w:r>
        <w:rPr>
          <w:rFonts w:ascii="Times New Roman" w:hAnsi="Times New Roman" w:eastAsia="Times New Roman"/>
          <w:b w:val="0"/>
          <w:i w:val="0"/>
          <w:sz w:val="26"/>
          <w:u w:val="none"/>
        </w:rPr>
        <w:t>- Điểm cầu cơ sở KCB BHYT: lãnh đạo phụ trách công tác BHYT và cán bộ, viên chức trực tiếp thực hiện việc chuẩn hóa danh mục, lập, gửi dữ liệu đề nghị thanh toán chi phí KCB BHYT.</w:t>
      </w:r>
    </w:p>
    <w:p>
      <w:pPr>
        <w:spacing w:before="200" w:after="120" w:line="312" w:lineRule="auto"/>
      </w:pPr>
      <w:r>
        <w:rPr>
          <w:rFonts w:ascii="Times New Roman" w:hAnsi="Times New Roman" w:eastAsia="Times New Roman"/>
          <w:b/>
          <w:i w:val="0"/>
          <w:color w:val="C00000"/>
          <w:sz w:val="26"/>
          <w:u w:val="none"/>
        </w:rPr>
        <w:t>IV. KINH PHÍ THỰC HIỆN</w:t>
      </w:r>
    </w:p>
    <w:p>
      <w:pPr>
        <w:spacing w:after="120" w:before="0" w:line="312" w:lineRule="auto"/>
        <w:ind w:firstLine="709"/>
      </w:pPr>
      <w:r>
        <w:rPr>
          <w:rFonts w:ascii="Times New Roman" w:hAnsi="Times New Roman" w:eastAsia="Times New Roman"/>
          <w:b w:val="0"/>
          <w:i w:val="0"/>
          <w:sz w:val="26"/>
          <w:u w:val="none"/>
        </w:rPr>
        <w:t>Kinh phí tổ chức Hội nghị từ nguồn chi quản lý bảo hiểm xã hội, bảo hiểm thất nghiệp, bảo hiểm y tế năm 2026.</w:t>
      </w:r>
    </w:p>
    <w:p>
      <w:pPr>
        <w:spacing w:before="200" w:after="120" w:line="312" w:lineRule="auto"/>
      </w:pPr>
      <w:r>
        <w:rPr>
          <w:rFonts w:ascii="Times New Roman" w:hAnsi="Times New Roman" w:eastAsia="Times New Roman"/>
          <w:b/>
          <w:i w:val="0"/>
          <w:color w:val="C00000"/>
          <w:sz w:val="26"/>
          <w:u w:val="none"/>
        </w:rPr>
        <w:t>V. TỔ CHỨC THỰC HIỆN</w:t>
      </w:r>
    </w:p>
    <w:p>
      <w:pPr>
        <w:spacing w:after="120" w:before="0" w:line="312" w:lineRule="auto"/>
        <w:ind w:firstLine="709"/>
      </w:pPr>
      <w:r>
        <w:rPr>
          <w:rFonts w:ascii="Times New Roman" w:hAnsi="Times New Roman" w:eastAsia="Times New Roman"/>
          <w:b w:val="0"/>
          <w:i w:val="0"/>
          <w:sz w:val="26"/>
          <w:u w:val="none"/>
        </w:rPr>
        <w:t xml:space="preserve">1. </w:t>
      </w:r>
      <w:r>
        <w:rPr>
          <w:rFonts w:ascii="Times New Roman" w:hAnsi="Times New Roman" w:eastAsia="Times New Roman"/>
          <w:b w:val="0"/>
          <w:i w:val="0"/>
          <w:sz w:val="26"/>
          <w:highlight w:val="cyan"/>
          <w:u w:val="none"/>
        </w:rPr>
        <w:t>Trung tâm Kiểm soát thanh toán BHXH, BHYT điện tử</w:t>
      </w:r>
      <w:r>
        <w:rPr>
          <w:rFonts w:ascii="Times New Roman" w:hAnsi="Times New Roman" w:eastAsia="Times New Roman"/>
          <w:b w:val="0"/>
          <w:i w:val="0"/>
          <w:sz w:val="26"/>
          <w:u w:val="none"/>
        </w:rPr>
        <w:t xml:space="preserve">: Chủ trì, phối hợp với </w:t>
      </w:r>
      <w:r>
        <w:rPr>
          <w:rFonts w:ascii="Times New Roman" w:hAnsi="Times New Roman" w:eastAsia="Times New Roman"/>
          <w:b w:val="0"/>
          <w:i w:val="0"/>
          <w:sz w:val="26"/>
          <w:highlight w:val="cyan"/>
          <w:u w:val="none"/>
        </w:rPr>
        <w:t>Ban Thực hiện chính sách BHYT</w:t>
      </w:r>
      <w:r>
        <w:rPr>
          <w:rFonts w:ascii="Times New Roman" w:hAnsi="Times New Roman" w:eastAsia="Times New Roman"/>
          <w:b w:val="0"/>
          <w:i w:val="0"/>
          <w:sz w:val="26"/>
          <w:u w:val="none"/>
        </w:rPr>
        <w:t xml:space="preserve"> xây dựng nội dung, tài liệu hướng dẫn; chuẩn bị kịch bản, đường truyền trực tuyến; tổng hợp, giải đáp vướng mắc của cơ sở KCB BHYT tại Hội nghị.</w:t>
      </w:r>
    </w:p>
    <w:p>
      <w:pPr>
        <w:spacing w:after="120" w:before="0" w:line="312" w:lineRule="auto"/>
        <w:ind w:firstLine="709"/>
      </w:pPr>
      <w:r>
        <w:rPr>
          <w:rFonts w:ascii="Times New Roman" w:hAnsi="Times New Roman" w:eastAsia="Times New Roman"/>
          <w:b w:val="0"/>
          <w:i w:val="0"/>
          <w:sz w:val="26"/>
          <w:u w:val="none"/>
        </w:rPr>
        <w:t xml:space="preserve">2. </w:t>
      </w:r>
      <w:r>
        <w:rPr>
          <w:rFonts w:ascii="Times New Roman" w:hAnsi="Times New Roman" w:eastAsia="Times New Roman"/>
          <w:b w:val="0"/>
          <w:i w:val="0"/>
          <w:sz w:val="26"/>
          <w:highlight w:val="cyan"/>
          <w:u w:val="none"/>
        </w:rPr>
        <w:t>Ban Thực hiện chính sách BHYT</w:t>
      </w:r>
      <w:r>
        <w:rPr>
          <w:rFonts w:ascii="Times New Roman" w:hAnsi="Times New Roman" w:eastAsia="Times New Roman"/>
          <w:b w:val="0"/>
          <w:i w:val="0"/>
          <w:sz w:val="26"/>
          <w:u w:val="none"/>
        </w:rPr>
        <w:t xml:space="preserve">: Phối hợp xây dựng nội dung liên quan đến </w:t>
      </w:r>
      <w:r>
        <w:rPr>
          <w:rFonts w:ascii="Times New Roman" w:hAnsi="Times New Roman" w:eastAsia="Times New Roman"/>
          <w:b w:val="0"/>
          <w:i w:val="0"/>
          <w:sz w:val="26"/>
          <w:highlight w:val="yellow"/>
          <w:u w:val="none"/>
        </w:rPr>
        <w:t>Thông tư số 12/2026/TT-BTC</w:t>
      </w:r>
      <w:r>
        <w:rPr>
          <w:rFonts w:ascii="Times New Roman" w:hAnsi="Times New Roman" w:eastAsia="Times New Roman"/>
          <w:b w:val="0"/>
          <w:i w:val="0"/>
          <w:sz w:val="26"/>
          <w:u w:val="none"/>
        </w:rPr>
        <w:t>; cử cán bộ tham gia hướng dẫn, giải đáp tại Hội nghị.</w:t>
      </w:r>
    </w:p>
    <w:p>
      <w:pPr>
        <w:spacing w:after="120" w:before="0" w:line="312" w:lineRule="auto"/>
        <w:ind w:firstLine="709"/>
      </w:pPr>
      <w:r>
        <w:rPr>
          <w:rFonts w:ascii="Times New Roman" w:hAnsi="Times New Roman" w:eastAsia="Times New Roman"/>
          <w:b w:val="0"/>
          <w:i w:val="0"/>
          <w:sz w:val="26"/>
          <w:u w:val="none"/>
        </w:rPr>
        <w:t>3. Trung tâm Công nghệ thông tin: Bảo đảm hạ tầng kỹ thuật, đường truyền trực tuyến thông suốt trong suốt thời gian tổ chức Hội nghị.</w:t>
      </w:r>
    </w:p>
    <w:p>
      <w:pPr>
        <w:spacing w:after="120" w:before="0" w:line="312" w:lineRule="auto"/>
        <w:ind w:firstLine="709"/>
      </w:pPr>
      <w:r>
        <w:rPr>
          <w:rFonts w:ascii="Times New Roman" w:hAnsi="Times New Roman" w:eastAsia="Times New Roman"/>
          <w:b w:val="0"/>
          <w:i w:val="0"/>
          <w:sz w:val="26"/>
          <w:u w:val="none"/>
        </w:rPr>
        <w:t>4. Văn phòng Bảo hiểm xã hội Việt Nam: Gửi Giấy mời, văn bản thông báo thời gian, hình thức tổ chức Hội nghị đến các đơn vị, Bảo hiểm xã hội các tỉnh, thành phố.</w:t>
      </w:r>
    </w:p>
    <w:p>
      <w:pPr>
        <w:spacing w:after="120" w:before="0" w:line="312" w:lineRule="auto"/>
        <w:ind w:firstLine="709"/>
      </w:pPr>
      <w:r>
        <w:rPr>
          <w:rFonts w:ascii="Times New Roman" w:hAnsi="Times New Roman" w:eastAsia="Times New Roman"/>
          <w:b w:val="0"/>
          <w:i w:val="0"/>
          <w:sz w:val="26"/>
          <w:u w:val="none"/>
        </w:rPr>
        <w:t xml:space="preserve">5. Bảo hiểm xã hội các tỉnh, thành phố: Thông báo, đôn đốc các cơ sở KCB BHYT trên địa bàn tham dự đầy đủ, đúng thành phần; tổng hợp các nội dung vướng mắc (nếu có) gửi về Bảo hiểm xã hội Việt Nam qua </w:t>
      </w:r>
      <w:r>
        <w:rPr>
          <w:rFonts w:ascii="Times New Roman" w:hAnsi="Times New Roman" w:eastAsia="Times New Roman"/>
          <w:b w:val="0"/>
          <w:i w:val="0"/>
          <w:sz w:val="26"/>
          <w:highlight w:val="cyan"/>
          <w:u w:val="none"/>
        </w:rPr>
        <w:t>Trung tâm Kiểm soát thanh toán BHXH, BHYT điện tử</w:t>
      </w:r>
      <w:r>
        <w:rPr>
          <w:rFonts w:ascii="Times New Roman" w:hAnsi="Times New Roman" w:eastAsia="Times New Roman"/>
          <w:b w:val="0"/>
          <w:i w:val="0"/>
          <w:sz w:val="26"/>
          <w:u w:val="none"/>
        </w:rPr>
        <w:t xml:space="preserve"> trước 05 ngày tổ chức Hội nghị.</w:t>
      </w:r>
    </w:p>
    <w:p>
      <w:pPr>
        <w:spacing w:after="120" w:before="0" w:line="312" w:lineRule="auto"/>
        <w:ind w:firstLine="709"/>
      </w:pPr>
      <w:r>
        <w:rPr>
          <w:rFonts w:ascii="Times New Roman" w:hAnsi="Times New Roman" w:eastAsia="Times New Roman"/>
          <w:b w:val="0"/>
          <w:i w:val="0"/>
          <w:sz w:val="26"/>
          <w:u w:val="none"/>
        </w:rPr>
        <w:t>6. Cơ sở KCB BHYT: Cử cán bộ, viên chức tham dự đầy đủ, đúng thành phần; nghiên cứu trước tài liệu hướng dẫn; chuẩn bị đường truyền, phương tiện kỹ thuật tại điểm cầu.</w:t>
      </w:r>
    </w:p>
    <w:p>
      <w:pPr>
        <w:spacing w:after="120" w:before="160" w:line="312" w:lineRule="auto"/>
        <w:ind w:firstLine="709"/>
      </w:pPr>
      <w:r>
        <w:rPr>
          <w:rFonts w:ascii="Times New Roman" w:hAnsi="Times New Roman" w:eastAsia="Times New Roman"/>
          <w:b w:val="0"/>
          <w:i w:val="0"/>
          <w:sz w:val="26"/>
          <w:u w:val="none"/>
        </w:rPr>
        <w:t xml:space="preserve">Trên đây là Kế hoạch tổ chức Hội nghị trực tuyến hướng dẫn chuẩn hóa danh mục liên thông dữ liệu và lập biểu mẫu đề nghị thanh toán chi phí KCB BHYT theo </w:t>
      </w:r>
      <w:r>
        <w:rPr>
          <w:rFonts w:ascii="Times New Roman" w:hAnsi="Times New Roman" w:eastAsia="Times New Roman"/>
          <w:b w:val="0"/>
          <w:i w:val="0"/>
          <w:sz w:val="26"/>
          <w:highlight w:val="yellow"/>
          <w:u w:val="none"/>
        </w:rPr>
        <w:t>Thông tư số 12/2026/TT-BTC</w:t>
      </w:r>
      <w:r>
        <w:rPr>
          <w:rFonts w:ascii="Times New Roman" w:hAnsi="Times New Roman" w:eastAsia="Times New Roman"/>
          <w:b w:val="0"/>
          <w:i w:val="0"/>
          <w:sz w:val="26"/>
          <w:u w:val="none"/>
        </w:rPr>
        <w:t xml:space="preserve">. Bảo hiểm xã hội Việt Nam yêu cầu các đơn vị thuộc và trực thuộc, Bảo hiểm xã hội các tỉnh, thành phố nghiêm túc triển khai thực hiện. Trong quá trình thực hiện nếu có khó khăn, vướng mắc, đề nghị phản ánh kịp thời về Bảo hiểm xã hội Việt Nam (qua </w:t>
      </w:r>
      <w:r>
        <w:rPr>
          <w:rFonts w:ascii="Times New Roman" w:hAnsi="Times New Roman" w:eastAsia="Times New Roman"/>
          <w:b w:val="0"/>
          <w:i w:val="0"/>
          <w:sz w:val="26"/>
          <w:highlight w:val="cyan"/>
          <w:u w:val="none"/>
        </w:rPr>
        <w:t>Trung tâm Kiểm soát thanh toán BHXH, BHYT điện tử</w:t>
      </w:r>
      <w:r>
        <w:rPr>
          <w:rFonts w:ascii="Times New Roman" w:hAnsi="Times New Roman" w:eastAsia="Times New Roman"/>
          <w:b w:val="0"/>
          <w:i w:val="0"/>
          <w:sz w:val="26"/>
          <w:u w:val="none"/>
        </w:rPr>
        <w:t>) để xem xét, giải quyết./.</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5102"/>
        <w:gridCol w:w="3969"/>
      </w:tblGrid>
      <w:tr>
        <w:tc>
          <w:tcPr>
            <w:tcW w:type="dxa" w:w="5102"/>
            <w:tcMar>
              <w:top w:w="0" w:type="dxa"/>
              <w:start w:w="0" w:type="dxa"/>
              <w:bottom w:w="0" w:type="dxa"/>
              <w:end w:w="0" w:type="dxa"/>
            </w:tcMar>
          </w:tcPr>
          <w:p>
            <w:pPr>
              <w:spacing w:before="120"/>
            </w:pPr>
            <w:r>
              <w:rPr>
                <w:rFonts w:ascii="Times New Roman" w:hAnsi="Times New Roman" w:eastAsia="Times New Roman"/>
                <w:b/>
                <w:i/>
                <w:sz w:val="22"/>
                <w:u w:val="none"/>
              </w:rPr>
              <w:t>Nơi nhận:</w:t>
            </w:r>
          </w:p>
          <w:p>
            <w:r>
              <w:rPr>
                <w:rFonts w:ascii="Times New Roman" w:hAnsi="Times New Roman" w:eastAsia="Times New Roman"/>
                <w:b w:val="0"/>
                <w:i w:val="0"/>
                <w:sz w:val="22"/>
                <w:u w:val="none"/>
              </w:rPr>
              <w:t>- Giám đốc BHXH Việt Nam (để b/c);</w:t>
            </w:r>
          </w:p>
          <w:p>
            <w:r>
              <w:rPr>
                <w:rFonts w:ascii="Times New Roman" w:hAnsi="Times New Roman" w:eastAsia="Times New Roman"/>
                <w:b w:val="0"/>
                <w:i w:val="0"/>
                <w:sz w:val="22"/>
                <w:u w:val="none"/>
              </w:rPr>
              <w:t>- Các Phó Giám đốc BHXH Việt Nam (để b/c);</w:t>
            </w:r>
          </w:p>
          <w:p>
            <w:r>
              <w:rPr>
                <w:rFonts w:ascii="Times New Roman" w:hAnsi="Times New Roman" w:eastAsia="Times New Roman"/>
                <w:b w:val="0"/>
                <w:i w:val="0"/>
                <w:sz w:val="22"/>
                <w:u w:val="none"/>
              </w:rPr>
              <w:t>- Các đơn vị: Ban CSYT, TTKS, CNTT, VP (để t/h);</w:t>
            </w:r>
          </w:p>
          <w:p>
            <w:r>
              <w:rPr>
                <w:rFonts w:ascii="Times New Roman" w:hAnsi="Times New Roman" w:eastAsia="Times New Roman"/>
                <w:b w:val="0"/>
                <w:i w:val="0"/>
                <w:sz w:val="22"/>
                <w:u w:val="none"/>
              </w:rPr>
              <w:t>- BHXH các tỉnh, thành phố (để t/h);</w:t>
            </w:r>
          </w:p>
          <w:p>
            <w:r>
              <w:rPr>
                <w:rFonts w:ascii="Times New Roman" w:hAnsi="Times New Roman" w:eastAsia="Times New Roman"/>
                <w:b w:val="0"/>
                <w:i w:val="0"/>
                <w:sz w:val="22"/>
                <w:u w:val="none"/>
              </w:rPr>
              <w:t>- Lưu: VT, TTKS.</w:t>
            </w:r>
          </w:p>
        </w:tc>
        <w:tc>
          <w:tcPr>
            <w:tcW w:type="dxa" w:w="3969"/>
            <w:tcMar>
              <w:top w:w="0" w:type="dxa"/>
              <w:start w:w="0" w:type="dxa"/>
              <w:bottom w:w="0" w:type="dxa"/>
              <w:end w:w="0" w:type="dxa"/>
            </w:tcMar>
          </w:tcPr>
          <w:p>
            <w:pPr>
              <w:jc w:val="center"/>
            </w:pPr>
            <w:r>
              <w:rPr>
                <w:rFonts w:ascii="Times New Roman" w:hAnsi="Times New Roman" w:eastAsia="Times New Roman"/>
                <w:b/>
                <w:i w:val="0"/>
                <w:sz w:val="26"/>
                <w:u w:val="none"/>
              </w:rPr>
              <w:t>TL. GIÁM ĐỐC</w:t>
            </w:r>
          </w:p>
          <w:p>
            <w:pPr>
              <w:jc w:val="center"/>
            </w:pPr>
            <w:r>
              <w:rPr>
                <w:rFonts w:ascii="Times New Roman" w:hAnsi="Times New Roman" w:eastAsia="Times New Roman"/>
                <w:b/>
                <w:i w:val="0"/>
                <w:sz w:val="26"/>
                <w:u w:val="none"/>
              </w:rPr>
              <w:t>GIÁM ĐỐC TRUNG TÂM KIỂM SOÁT THANH TOÁN BHXH, BHYT ĐIỆN TỬ</w:t>
            </w:r>
          </w:p>
          <w:p/>
          <w:p/>
          <w:p/>
          <w:p/>
          <w:p>
            <w:pPr>
              <w:jc w:val="center"/>
            </w:pPr>
            <w:r>
              <w:rPr>
                <w:rFonts w:ascii="Times New Roman" w:hAnsi="Times New Roman" w:eastAsia="Times New Roman"/>
                <w:b w:val="0"/>
                <w:i/>
                <w:sz w:val="22"/>
                <w:u w:val="none"/>
              </w:rPr>
              <w:t>(Họ và tên)</w:t>
            </w:r>
          </w:p>
        </w:tc>
      </w:tr>
    </w:tbl>
    <w:p>
      <w:pPr>
        <w:sectPr>
          <w:pgSz w:w="11906" w:h="16838"/>
          <w:pgMar w:top="1134" w:right="1134" w:bottom="1134" w:left="1701" w:header="720" w:footer="720" w:gutter="0"/>
          <w:cols w:space="720"/>
          <w:docGrid w:linePitch="360"/>
        </w:sectPr>
      </w:pPr>
    </w:p>
    <w:p>
      <w:pPr>
        <w:spacing w:after="40"/>
        <w:jc w:val="right"/>
      </w:pPr>
      <w:r>
        <w:rPr>
          <w:rFonts w:ascii="Times New Roman" w:hAnsi="Times New Roman" w:eastAsia="Times New Roman"/>
          <w:b/>
          <w:i/>
          <w:sz w:val="26"/>
          <w:u w:val="none"/>
        </w:rPr>
        <w:t>PHỤ LỤC</w:t>
      </w:r>
    </w:p>
    <w:p>
      <w:pPr>
        <w:spacing w:after="320" w:before="0" w:line="312" w:lineRule="auto"/>
        <w:jc w:val="right"/>
      </w:pPr>
      <w:r>
        <w:rPr>
          <w:rFonts w:ascii="Times New Roman" w:hAnsi="Times New Roman" w:eastAsia="Times New Roman"/>
          <w:b w:val="0"/>
          <w:i w:val="0"/>
          <w:sz w:val="24"/>
          <w:u w:val="none"/>
        </w:rPr>
        <w:t>(Kèm theo Kế hoạch số   /KH-BHXH ngày   tháng   năm 2026 của Bảo hiểm xã hội Việt Nam)</w:t>
      </w:r>
    </w:p>
    <w:p>
      <w:pPr>
        <w:spacing w:after="40"/>
        <w:jc w:val="center"/>
      </w:pPr>
      <w:r>
        <w:rPr>
          <w:rFonts w:ascii="Times New Roman" w:hAnsi="Times New Roman" w:eastAsia="Times New Roman"/>
          <w:b/>
          <w:i w:val="0"/>
          <w:sz w:val="28"/>
          <w:u w:val="none"/>
        </w:rPr>
        <w:t>DỰ KIẾN CHƯƠNG TRÌNH</w:t>
      </w:r>
    </w:p>
    <w:p>
      <w:pPr>
        <w:spacing w:after="40"/>
        <w:jc w:val="center"/>
      </w:pPr>
      <w:r>
        <w:rPr>
          <w:rFonts w:ascii="Times New Roman" w:hAnsi="Times New Roman" w:eastAsia="Times New Roman"/>
          <w:b/>
          <w:i w:val="0"/>
          <w:sz w:val="28"/>
          <w:u w:val="none"/>
        </w:rPr>
        <w:t>HỘI NGHỊ TRỰC TUYẾN HƯỚNG DẪN CHUẨN HÓA DANH MỤC LIÊN THÔNG DỮ LIỆU</w:t>
      </w:r>
    </w:p>
    <w:p>
      <w:pPr>
        <w:spacing w:after="40"/>
        <w:jc w:val="center"/>
      </w:pPr>
      <w:r>
        <w:rPr>
          <w:rFonts w:ascii="Times New Roman" w:hAnsi="Times New Roman" w:eastAsia="Times New Roman"/>
          <w:b/>
          <w:i w:val="0"/>
          <w:sz w:val="28"/>
          <w:u w:val="none"/>
        </w:rPr>
        <w:t>VÀ LẬP BIỂU MẪU ĐỀ NGHỊ THANH TOÁN CHI PHÍ KCB BHYT</w:t>
      </w:r>
    </w:p>
    <w:p>
      <w:pPr>
        <w:spacing w:after="40"/>
        <w:jc w:val="center"/>
      </w:pPr>
      <w:r>
        <w:rPr>
          <w:rFonts w:ascii="Times New Roman" w:hAnsi="Times New Roman" w:eastAsia="Times New Roman"/>
          <w:b/>
          <w:i w:val="0"/>
          <w:sz w:val="28"/>
          <w:u w:val="none"/>
        </w:rPr>
        <w:t>THEO THÔNG TƯ SỐ 12/2026/TT-BTC NGÀY 10/02/2026 CỦA BỘ TÀI CHÍNH</w:t>
      </w:r>
    </w:p>
    <w:p>
      <w:pPr>
        <w:spacing w:before="120" w:after="280"/>
        <w:jc w:val="center"/>
      </w:pPr>
      <w:r>
        <w:rPr>
          <w:rFonts w:ascii="Times New Roman" w:hAnsi="Times New Roman" w:eastAsia="Times New Roman"/>
          <w:b/>
          <w:i/>
          <w:sz w:val="26"/>
          <w:u w:val="none"/>
        </w:rPr>
        <w:t>Thời gian: Sáng Thứ Sáu, ngày 31 tháng 7 năm 2026</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814"/>
        <w:gridCol w:w="5272"/>
        <w:gridCol w:w="2551"/>
      </w:tblGrid>
      <w:tr>
        <w:tc>
          <w:tcPr>
            <w:tcW w:type="dxa" w:w="1814"/>
            <w:shd w:val="clear" w:color="auto" w:fill="D9D9D9"/>
          </w:tcPr>
          <w:p>
            <w:pPr>
              <w:jc w:val="center"/>
            </w:pPr>
            <w:r/>
            <w:r>
              <w:rPr>
                <w:rFonts w:ascii="Times New Roman" w:hAnsi="Times New Roman" w:eastAsia="Times New Roman"/>
                <w:b/>
                <w:i w:val="0"/>
                <w:sz w:val="26"/>
                <w:u w:val="none"/>
              </w:rPr>
              <w:t>Thời gian</w:t>
            </w:r>
          </w:p>
        </w:tc>
        <w:tc>
          <w:tcPr>
            <w:tcW w:type="dxa" w:w="5272"/>
            <w:shd w:val="clear" w:color="auto" w:fill="D9D9D9"/>
          </w:tcPr>
          <w:p>
            <w:pPr>
              <w:jc w:val="center"/>
            </w:pPr>
            <w:r/>
            <w:r>
              <w:rPr>
                <w:rFonts w:ascii="Times New Roman" w:hAnsi="Times New Roman" w:eastAsia="Times New Roman"/>
                <w:b/>
                <w:i w:val="0"/>
                <w:sz w:val="26"/>
                <w:u w:val="none"/>
              </w:rPr>
              <w:t>Nội dung</w:t>
            </w:r>
          </w:p>
        </w:tc>
        <w:tc>
          <w:tcPr>
            <w:tcW w:type="dxa" w:w="2551"/>
            <w:shd w:val="clear" w:color="auto" w:fill="D9D9D9"/>
          </w:tcPr>
          <w:p>
            <w:pPr>
              <w:jc w:val="center"/>
            </w:pPr>
            <w:r/>
            <w:r>
              <w:rPr>
                <w:rFonts w:ascii="Times New Roman" w:hAnsi="Times New Roman" w:eastAsia="Times New Roman"/>
                <w:b/>
                <w:i w:val="0"/>
                <w:sz w:val="26"/>
                <w:u w:val="none"/>
              </w:rPr>
              <w:t>Thực hiện</w:t>
            </w:r>
          </w:p>
        </w:tc>
      </w:tr>
      <w:tr>
        <w:tc>
          <w:tcPr>
            <w:tcW w:type="dxa" w:w="1814"/>
          </w:tcPr>
          <w:p>
            <w:pPr>
              <w:jc w:val="center"/>
            </w:pPr>
            <w:r/>
            <w:r>
              <w:rPr>
                <w:rFonts w:ascii="Times New Roman" w:hAnsi="Times New Roman" w:eastAsia="Times New Roman"/>
                <w:b/>
                <w:i w:val="0"/>
                <w:sz w:val="24"/>
                <w:u w:val="none"/>
              </w:rPr>
              <w:t>8h00 - 8h10</w:t>
            </w:r>
          </w:p>
        </w:tc>
        <w:tc>
          <w:tcPr>
            <w:tcW w:type="dxa" w:w="5272"/>
          </w:tcPr>
          <w:p>
            <w:r/>
          </w:p>
          <w:p>
            <w:pPr>
              <w:spacing w:after="0" w:before="0" w:line="312" w:lineRule="auto"/>
            </w:pPr>
            <w:r>
              <w:rPr>
                <w:rFonts w:ascii="Times New Roman" w:hAnsi="Times New Roman" w:eastAsia="Times New Roman"/>
                <w:b w:val="0"/>
                <w:i w:val="0"/>
                <w:sz w:val="24"/>
                <w:u w:val="none"/>
              </w:rPr>
              <w:t>Đón tiếp đại biểu, tuyên bố lý do, giới thiệu đại biểu</w:t>
            </w:r>
          </w:p>
        </w:tc>
        <w:tc>
          <w:tcPr>
            <w:tcW w:type="dxa" w:w="2551"/>
          </w:tcPr>
          <w:p>
            <w:pPr>
              <w:jc w:val="center"/>
            </w:pPr>
            <w:r/>
            <w:r>
              <w:rPr>
                <w:rFonts w:ascii="Times New Roman" w:hAnsi="Times New Roman" w:eastAsia="Times New Roman"/>
                <w:b w:val="0"/>
                <w:i w:val="0"/>
                <w:sz w:val="24"/>
                <w:u w:val="none"/>
              </w:rPr>
              <w:t>Đại diện lãnh đạo Trung tâm Kiểm soát thanh toán BHXH, BHYT điện tử</w:t>
            </w:r>
          </w:p>
        </w:tc>
      </w:tr>
      <w:tr>
        <w:tc>
          <w:tcPr>
            <w:tcW w:type="dxa" w:w="1814"/>
          </w:tcPr>
          <w:p>
            <w:pPr>
              <w:jc w:val="center"/>
            </w:pPr>
            <w:r/>
            <w:r>
              <w:rPr>
                <w:rFonts w:ascii="Times New Roman" w:hAnsi="Times New Roman" w:eastAsia="Times New Roman"/>
                <w:b/>
                <w:i w:val="0"/>
                <w:sz w:val="24"/>
                <w:u w:val="none"/>
              </w:rPr>
              <w:t>8h10 - 8h20</w:t>
            </w:r>
          </w:p>
        </w:tc>
        <w:tc>
          <w:tcPr>
            <w:tcW w:type="dxa" w:w="5272"/>
          </w:tcPr>
          <w:p>
            <w:r/>
          </w:p>
          <w:p>
            <w:pPr>
              <w:spacing w:after="0" w:before="0" w:line="312" w:lineRule="auto"/>
            </w:pPr>
            <w:r>
              <w:rPr>
                <w:rFonts w:ascii="Times New Roman" w:hAnsi="Times New Roman" w:eastAsia="Times New Roman"/>
                <w:b w:val="0"/>
                <w:i w:val="0"/>
                <w:sz w:val="24"/>
                <w:u w:val="none"/>
              </w:rPr>
              <w:t>Phát biểu khai mạc Hội nghị</w:t>
            </w:r>
          </w:p>
        </w:tc>
        <w:tc>
          <w:tcPr>
            <w:tcW w:type="dxa" w:w="2551"/>
          </w:tcPr>
          <w:p>
            <w:pPr>
              <w:jc w:val="center"/>
            </w:pPr>
            <w:r/>
            <w:r>
              <w:rPr>
                <w:rFonts w:ascii="Times New Roman" w:hAnsi="Times New Roman" w:eastAsia="Times New Roman"/>
                <w:b w:val="0"/>
                <w:i w:val="0"/>
                <w:sz w:val="24"/>
                <w:u w:val="none"/>
              </w:rPr>
              <w:t>Lãnh đạo Bảo hiểm xã hội Việt Nam</w:t>
            </w:r>
          </w:p>
        </w:tc>
      </w:tr>
      <w:tr>
        <w:tc>
          <w:tcPr>
            <w:tcW w:type="dxa" w:w="1814"/>
          </w:tcPr>
          <w:p>
            <w:pPr>
              <w:jc w:val="center"/>
            </w:pPr>
            <w:r/>
            <w:r>
              <w:rPr>
                <w:rFonts w:ascii="Times New Roman" w:hAnsi="Times New Roman" w:eastAsia="Times New Roman"/>
                <w:b/>
                <w:i w:val="0"/>
                <w:sz w:val="24"/>
                <w:u w:val="none"/>
              </w:rPr>
              <w:t>8h20 - 8h50</w:t>
            </w:r>
          </w:p>
        </w:tc>
        <w:tc>
          <w:tcPr>
            <w:tcW w:type="dxa" w:w="5272"/>
          </w:tcPr>
          <w:p>
            <w:r/>
          </w:p>
          <w:p>
            <w:pPr>
              <w:spacing w:after="0" w:before="0" w:line="312" w:lineRule="auto"/>
            </w:pPr>
            <w:r>
              <w:rPr>
                <w:rFonts w:ascii="Times New Roman" w:hAnsi="Times New Roman" w:eastAsia="Times New Roman"/>
                <w:b w:val="0"/>
                <w:i w:val="0"/>
                <w:sz w:val="24"/>
                <w:u w:val="none"/>
              </w:rPr>
              <w:t xml:space="preserve">1. Một số nội dung của </w:t>
            </w:r>
            <w:r>
              <w:rPr>
                <w:rFonts w:ascii="Times New Roman" w:hAnsi="Times New Roman" w:eastAsia="Times New Roman"/>
                <w:b w:val="0"/>
                <w:i w:val="0"/>
                <w:sz w:val="24"/>
                <w:highlight w:val="yellow"/>
                <w:u w:val="none"/>
              </w:rPr>
              <w:t>Thông tư số 12/2026/TT-BTC</w:t>
            </w:r>
            <w:r>
              <w:rPr>
                <w:rFonts w:ascii="Times New Roman" w:hAnsi="Times New Roman" w:eastAsia="Times New Roman"/>
                <w:b w:val="0"/>
                <w:i w:val="0"/>
                <w:sz w:val="24"/>
                <w:u w:val="none"/>
              </w:rPr>
              <w:t xml:space="preserve"> liên quan đến cơ sở KCB BHYT (30 phút)</w:t>
            </w:r>
          </w:p>
        </w:tc>
        <w:tc>
          <w:tcPr>
            <w:tcW w:type="dxa" w:w="2551"/>
          </w:tcPr>
          <w:p>
            <w:pPr>
              <w:jc w:val="center"/>
            </w:pPr>
            <w:r/>
            <w:r>
              <w:rPr>
                <w:rFonts w:ascii="Times New Roman" w:hAnsi="Times New Roman" w:eastAsia="Times New Roman"/>
                <w:b w:val="0"/>
                <w:i w:val="0"/>
                <w:sz w:val="24"/>
                <w:u w:val="none"/>
              </w:rPr>
              <w:t>Ban Thực hiện chính sách BHYT</w:t>
            </w:r>
          </w:p>
        </w:tc>
      </w:tr>
      <w:tr>
        <w:tc>
          <w:tcPr>
            <w:tcW w:type="dxa" w:w="1814"/>
          </w:tcPr>
          <w:p>
            <w:pPr>
              <w:jc w:val="center"/>
            </w:pPr>
            <w:r/>
            <w:r>
              <w:rPr>
                <w:rFonts w:ascii="Times New Roman" w:hAnsi="Times New Roman" w:eastAsia="Times New Roman"/>
                <w:b/>
                <w:i w:val="0"/>
                <w:sz w:val="24"/>
                <w:u w:val="none"/>
              </w:rPr>
              <w:t>8h50 - 9h50</w:t>
            </w:r>
          </w:p>
        </w:tc>
        <w:tc>
          <w:tcPr>
            <w:tcW w:type="dxa" w:w="5272"/>
          </w:tcPr>
          <w:p>
            <w:r/>
          </w:p>
          <w:p>
            <w:pPr>
              <w:spacing w:after="0" w:before="0" w:line="312" w:lineRule="auto"/>
            </w:pPr>
            <w:r>
              <w:rPr>
                <w:rFonts w:ascii="Times New Roman" w:hAnsi="Times New Roman" w:eastAsia="Times New Roman"/>
                <w:b w:val="0"/>
                <w:i w:val="0"/>
                <w:sz w:val="24"/>
                <w:u w:val="none"/>
              </w:rPr>
              <w:t xml:space="preserve">2. Hướng dẫn một số nội dung lập </w:t>
            </w:r>
            <w:r>
              <w:rPr>
                <w:rFonts w:ascii="Times New Roman" w:hAnsi="Times New Roman" w:eastAsia="Times New Roman"/>
                <w:b w:val="0"/>
                <w:i w:val="0"/>
                <w:sz w:val="24"/>
                <w:highlight w:val="yellow"/>
                <w:u w:val="none"/>
              </w:rPr>
              <w:t>06 bảng danh mục</w:t>
            </w:r>
            <w:r>
              <w:rPr>
                <w:rFonts w:ascii="Times New Roman" w:hAnsi="Times New Roman" w:eastAsia="Times New Roman"/>
                <w:b w:val="0"/>
                <w:i w:val="0"/>
                <w:sz w:val="24"/>
                <w:u w:val="none"/>
              </w:rPr>
              <w:t xml:space="preserve"> sử dụng trong liên thông dữ liệu KCB BHYT (60 phút)</w:t>
            </w:r>
          </w:p>
        </w:tc>
        <w:tc>
          <w:tcPr>
            <w:tcW w:type="dxa" w:w="2551"/>
          </w:tcPr>
          <w:p>
            <w:pPr>
              <w:jc w:val="center"/>
            </w:pPr>
            <w:r/>
            <w:r>
              <w:rPr>
                <w:rFonts w:ascii="Times New Roman" w:hAnsi="Times New Roman" w:eastAsia="Times New Roman"/>
                <w:b w:val="0"/>
                <w:i w:val="0"/>
                <w:sz w:val="24"/>
                <w:u w:val="none"/>
              </w:rPr>
              <w:t>Trung tâm Kiểm soát thanh toán BHXH, BHYT điện tử</w:t>
            </w:r>
          </w:p>
        </w:tc>
      </w:tr>
      <w:tr>
        <w:tc>
          <w:tcPr>
            <w:tcW w:type="dxa" w:w="1814"/>
          </w:tcPr>
          <w:p>
            <w:pPr>
              <w:jc w:val="center"/>
            </w:pPr>
            <w:r/>
            <w:r>
              <w:rPr>
                <w:rFonts w:ascii="Times New Roman" w:hAnsi="Times New Roman" w:eastAsia="Times New Roman"/>
                <w:b/>
                <w:i w:val="0"/>
                <w:sz w:val="24"/>
                <w:u w:val="none"/>
              </w:rPr>
              <w:t>9h50 - 10h20</w:t>
            </w:r>
          </w:p>
        </w:tc>
        <w:tc>
          <w:tcPr>
            <w:tcW w:type="dxa" w:w="5272"/>
          </w:tcPr>
          <w:p>
            <w:r/>
          </w:p>
          <w:p>
            <w:pPr>
              <w:spacing w:after="0" w:before="0" w:line="312" w:lineRule="auto"/>
            </w:pPr>
            <w:r>
              <w:rPr>
                <w:rFonts w:ascii="Times New Roman" w:hAnsi="Times New Roman" w:eastAsia="Times New Roman"/>
                <w:b w:val="0"/>
                <w:i w:val="0"/>
                <w:sz w:val="24"/>
                <w:u w:val="none"/>
              </w:rPr>
              <w:t>3. Hướng dẫn lập Bảng kê chi tiết điều chỉnh (</w:t>
            </w:r>
            <w:r>
              <w:rPr>
                <w:rFonts w:ascii="Times New Roman" w:hAnsi="Times New Roman" w:eastAsia="Times New Roman"/>
                <w:b w:val="0"/>
                <w:i w:val="0"/>
                <w:sz w:val="24"/>
                <w:highlight w:val="yellow"/>
                <w:u w:val="none"/>
              </w:rPr>
              <w:t>Mẫu 09/BH</w:t>
            </w:r>
            <w:r>
              <w:rPr>
                <w:rFonts w:ascii="Times New Roman" w:hAnsi="Times New Roman" w:eastAsia="Times New Roman"/>
                <w:b w:val="0"/>
                <w:i w:val="0"/>
                <w:sz w:val="24"/>
                <w:u w:val="none"/>
              </w:rPr>
              <w:t>) (30 phút)</w:t>
            </w:r>
          </w:p>
        </w:tc>
        <w:tc>
          <w:tcPr>
            <w:tcW w:type="dxa" w:w="2551"/>
          </w:tcPr>
          <w:p>
            <w:pPr>
              <w:jc w:val="center"/>
            </w:pPr>
            <w:r/>
            <w:r>
              <w:rPr>
                <w:rFonts w:ascii="Times New Roman" w:hAnsi="Times New Roman" w:eastAsia="Times New Roman"/>
                <w:b w:val="0"/>
                <w:i w:val="0"/>
                <w:sz w:val="24"/>
                <w:u w:val="none"/>
              </w:rPr>
              <w:t>Trung tâm Kiểm soát thanh toán BHXH, BHYT điện tử</w:t>
            </w:r>
          </w:p>
        </w:tc>
      </w:tr>
      <w:tr>
        <w:tc>
          <w:tcPr>
            <w:tcW w:type="dxa" w:w="1814"/>
          </w:tcPr>
          <w:p>
            <w:pPr>
              <w:jc w:val="center"/>
            </w:pPr>
            <w:r/>
            <w:r>
              <w:rPr>
                <w:rFonts w:ascii="Times New Roman" w:hAnsi="Times New Roman" w:eastAsia="Times New Roman"/>
                <w:b/>
                <w:i w:val="0"/>
                <w:sz w:val="24"/>
                <w:u w:val="none"/>
              </w:rPr>
              <w:t>10h20 - 10h35</w:t>
            </w:r>
          </w:p>
        </w:tc>
        <w:tc>
          <w:tcPr>
            <w:tcW w:type="dxa" w:w="5272"/>
          </w:tcPr>
          <w:p>
            <w:r/>
          </w:p>
          <w:p>
            <w:pPr>
              <w:spacing w:after="0" w:before="0" w:line="312" w:lineRule="auto"/>
            </w:pPr>
            <w:r>
              <w:rPr>
                <w:rFonts w:ascii="Times New Roman" w:hAnsi="Times New Roman" w:eastAsia="Times New Roman"/>
                <w:b w:val="0"/>
                <w:i w:val="0"/>
                <w:sz w:val="24"/>
                <w:u w:val="none"/>
              </w:rPr>
              <w:t>4. Hướng dẫn đối chiếu số liệu đề nghị thanh toán (</w:t>
            </w:r>
            <w:r>
              <w:rPr>
                <w:rFonts w:ascii="Times New Roman" w:hAnsi="Times New Roman" w:eastAsia="Times New Roman"/>
                <w:b w:val="0"/>
                <w:i w:val="0"/>
                <w:sz w:val="24"/>
                <w:highlight w:val="yellow"/>
                <w:u w:val="none"/>
              </w:rPr>
              <w:t>Mẫu 01/BH</w:t>
            </w:r>
            <w:r>
              <w:rPr>
                <w:rFonts w:ascii="Times New Roman" w:hAnsi="Times New Roman" w:eastAsia="Times New Roman"/>
                <w:b w:val="0"/>
                <w:i w:val="0"/>
                <w:sz w:val="24"/>
                <w:u w:val="none"/>
              </w:rPr>
              <w:t>) (15 phút)</w:t>
            </w:r>
          </w:p>
        </w:tc>
        <w:tc>
          <w:tcPr>
            <w:tcW w:type="dxa" w:w="2551"/>
          </w:tcPr>
          <w:p>
            <w:pPr>
              <w:jc w:val="center"/>
            </w:pPr>
            <w:r/>
            <w:r>
              <w:rPr>
                <w:rFonts w:ascii="Times New Roman" w:hAnsi="Times New Roman" w:eastAsia="Times New Roman"/>
                <w:b w:val="0"/>
                <w:i w:val="0"/>
                <w:sz w:val="24"/>
                <w:u w:val="none"/>
              </w:rPr>
              <w:t>Trung tâm Kiểm soát thanh toán BHXH, BHYT điện tử</w:t>
            </w:r>
          </w:p>
        </w:tc>
      </w:tr>
      <w:tr>
        <w:tc>
          <w:tcPr>
            <w:tcW w:type="dxa" w:w="1814"/>
          </w:tcPr>
          <w:p>
            <w:pPr>
              <w:jc w:val="center"/>
            </w:pPr>
            <w:r/>
            <w:r>
              <w:rPr>
                <w:rFonts w:ascii="Times New Roman" w:hAnsi="Times New Roman" w:eastAsia="Times New Roman"/>
                <w:b/>
                <w:i w:val="0"/>
                <w:sz w:val="24"/>
                <w:u w:val="none"/>
              </w:rPr>
              <w:t>10h35 - 10h50</w:t>
            </w:r>
          </w:p>
        </w:tc>
        <w:tc>
          <w:tcPr>
            <w:tcW w:type="dxa" w:w="5272"/>
          </w:tcPr>
          <w:p>
            <w:r/>
          </w:p>
          <w:p>
            <w:pPr>
              <w:spacing w:after="0" w:before="0" w:line="312" w:lineRule="auto"/>
            </w:pPr>
            <w:r>
              <w:rPr>
                <w:rFonts w:ascii="Times New Roman" w:hAnsi="Times New Roman" w:eastAsia="Times New Roman"/>
                <w:b w:val="0"/>
                <w:i w:val="0"/>
                <w:sz w:val="24"/>
                <w:u w:val="none"/>
              </w:rPr>
              <w:t>5. Giải lao (15 phút)</w:t>
            </w:r>
          </w:p>
        </w:tc>
        <w:tc>
          <w:tcPr>
            <w:tcW w:type="dxa" w:w="2551"/>
          </w:tcPr>
          <w:p>
            <w:pPr>
              <w:jc w:val="center"/>
            </w:pPr>
            <w:r/>
            <w:r>
              <w:rPr>
                <w:rFonts w:ascii="Times New Roman" w:hAnsi="Times New Roman" w:eastAsia="Times New Roman"/>
                <w:b w:val="0"/>
                <w:i w:val="0"/>
                <w:sz w:val="24"/>
                <w:u w:val="none"/>
              </w:rPr>
            </w:r>
          </w:p>
        </w:tc>
      </w:tr>
      <w:tr>
        <w:tc>
          <w:tcPr>
            <w:tcW w:type="dxa" w:w="1814"/>
          </w:tcPr>
          <w:p>
            <w:pPr>
              <w:jc w:val="center"/>
            </w:pPr>
            <w:r/>
            <w:r>
              <w:rPr>
                <w:rFonts w:ascii="Times New Roman" w:hAnsi="Times New Roman" w:eastAsia="Times New Roman"/>
                <w:b/>
                <w:i w:val="0"/>
                <w:sz w:val="24"/>
                <w:u w:val="none"/>
              </w:rPr>
              <w:t>10h50 - 11h50</w:t>
            </w:r>
          </w:p>
        </w:tc>
        <w:tc>
          <w:tcPr>
            <w:tcW w:type="dxa" w:w="5272"/>
          </w:tcPr>
          <w:p>
            <w:r/>
          </w:p>
          <w:p>
            <w:pPr>
              <w:spacing w:after="0" w:before="0" w:line="312" w:lineRule="auto"/>
            </w:pPr>
            <w:r>
              <w:rPr>
                <w:rFonts w:ascii="Times New Roman" w:hAnsi="Times New Roman" w:eastAsia="Times New Roman"/>
                <w:b w:val="0"/>
                <w:i w:val="0"/>
                <w:sz w:val="24"/>
                <w:u w:val="none"/>
              </w:rPr>
              <w:t>6. Giải đáp vướng mắc của cơ sở KCB BHYT (60 phút)</w:t>
            </w:r>
          </w:p>
        </w:tc>
        <w:tc>
          <w:tcPr>
            <w:tcW w:type="dxa" w:w="2551"/>
          </w:tcPr>
          <w:p>
            <w:pPr>
              <w:jc w:val="center"/>
            </w:pPr>
            <w:r/>
            <w:r>
              <w:rPr>
                <w:rFonts w:ascii="Times New Roman" w:hAnsi="Times New Roman" w:eastAsia="Times New Roman"/>
                <w:b w:val="0"/>
                <w:i w:val="0"/>
                <w:sz w:val="24"/>
                <w:u w:val="none"/>
              </w:rPr>
              <w:t>Ban Thực hiện chính sách BHYT, Trung tâm Kiểm soát thanh toán BHXH, BHYT điện tử</w:t>
            </w:r>
          </w:p>
        </w:tc>
      </w:tr>
      <w:tr>
        <w:tc>
          <w:tcPr>
            <w:tcW w:type="dxa" w:w="1814"/>
          </w:tcPr>
          <w:p>
            <w:pPr>
              <w:jc w:val="center"/>
            </w:pPr>
            <w:r/>
            <w:r>
              <w:rPr>
                <w:rFonts w:ascii="Times New Roman" w:hAnsi="Times New Roman" w:eastAsia="Times New Roman"/>
                <w:b/>
                <w:i w:val="0"/>
                <w:sz w:val="24"/>
                <w:u w:val="none"/>
              </w:rPr>
              <w:t>11h50 - 12h00</w:t>
            </w:r>
          </w:p>
        </w:tc>
        <w:tc>
          <w:tcPr>
            <w:tcW w:type="dxa" w:w="5272"/>
          </w:tcPr>
          <w:p>
            <w:r/>
          </w:p>
          <w:p>
            <w:pPr>
              <w:spacing w:after="0" w:before="0" w:line="312" w:lineRule="auto"/>
            </w:pPr>
            <w:r>
              <w:rPr>
                <w:rFonts w:ascii="Times New Roman" w:hAnsi="Times New Roman" w:eastAsia="Times New Roman"/>
                <w:b w:val="0"/>
                <w:i w:val="0"/>
                <w:sz w:val="24"/>
                <w:u w:val="none"/>
              </w:rPr>
              <w:t>Kết luận, bế mạc Hội nghị</w:t>
            </w:r>
          </w:p>
        </w:tc>
        <w:tc>
          <w:tcPr>
            <w:tcW w:type="dxa" w:w="2551"/>
          </w:tcPr>
          <w:p>
            <w:pPr>
              <w:jc w:val="center"/>
            </w:pPr>
            <w:r/>
            <w:r>
              <w:rPr>
                <w:rFonts w:ascii="Times New Roman" w:hAnsi="Times New Roman" w:eastAsia="Times New Roman"/>
                <w:b w:val="0"/>
                <w:i w:val="0"/>
                <w:sz w:val="24"/>
                <w:u w:val="none"/>
              </w:rPr>
              <w:t>Lãnh đạo Bảo hiểm xã hội Việt Nam</w:t>
            </w:r>
          </w:p>
        </w:tc>
      </w:tr>
    </w:tbl>
    <w:p>
      <w:pPr>
        <w:spacing w:before="200"/>
      </w:pPr>
      <w:r>
        <w:rPr>
          <w:rFonts w:ascii="Times New Roman" w:hAnsi="Times New Roman" w:eastAsia="Times New Roman"/>
          <w:b w:val="0"/>
          <w:i/>
          <w:sz w:val="24"/>
          <w:u w:val="none"/>
        </w:rPr>
        <w:t>(Lịch làm việc có thể thay đổi theo chỉ đạo của Lãnh đạo Bảo hiểm xã hội Việt Nam)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