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QUY TRÌNH KÝ SỐ ĐIỆN TỬ TOÀN TRÌNH</w:t>
      </w:r>
    </w:p>
    <w:p>
      <w:pPr>
        <w:jc w:val="center"/>
      </w:pPr>
      <w:r>
        <w:rPr>
          <w:i/>
          <w:color w:val="2E74B5"/>
          <w:sz w:val="22"/>
        </w:rPr>
        <w:t>Trên Phân hệ Quản lý giải quyết chi trả các chế độ BHXH - Phần mềm QLBHXH</w:t>
      </w:r>
    </w:p>
    <w:p/>
    <w:tbl>
      <w:tblPr>
        <w:tblStyle w:val="TableGrid"/>
        <w:tblW w:type="auto" w:w="0"/>
        <w:tblLook w:firstColumn="1" w:firstRow="1" w:lastColumn="0" w:lastRow="0" w:noHBand="0" w:noVBand="1" w:val="04A0"/>
      </w:tblPr>
      <w:tblGrid>
        <w:gridCol w:w="2791"/>
        <w:gridCol w:w="2791"/>
        <w:gridCol w:w="2791"/>
        <w:gridCol w:w="2791"/>
        <w:gridCol w:w="2791"/>
      </w:tblGrid>
      <w:tr>
        <w:trPr>
          <w:trHeight w:val="567"/>
        </w:trPr>
        <w:tc>
          <w:tcPr>
            <w:tcW w:type="dxa" w:w="850"/>
            <w:vAlign w:val="center"/>
            <w:shd w:val="clear" w:color="auto" w:fill="1F497D"/>
          </w:tcPr>
          <w:p>
            <w:pPr>
              <w:jc w:val="center"/>
            </w:pPr>
            <w:r>
              <w:rPr>
                <w:b/>
                <w:i w:val="0"/>
                <w:color w:val="FFFFFF"/>
                <w:sz w:val="22"/>
              </w:rPr>
              <w:t>Bước</w:t>
            </w:r>
          </w:p>
        </w:tc>
        <w:tc>
          <w:tcPr>
            <w:tcW w:type="dxa" w:w="2381"/>
            <w:vAlign w:val="center"/>
            <w:shd w:val="clear" w:color="auto" w:fill="1F497D"/>
          </w:tcPr>
          <w:p>
            <w:pPr>
              <w:jc w:val="center"/>
            </w:pPr>
            <w:r>
              <w:rPr>
                <w:b/>
                <w:i w:val="0"/>
                <w:color w:val="FFFFFF"/>
                <w:sz w:val="22"/>
              </w:rPr>
              <w:t>Chủ thể thực hiện</w:t>
            </w:r>
          </w:p>
        </w:tc>
        <w:tc>
          <w:tcPr>
            <w:tcW w:type="dxa" w:w="3969"/>
            <w:vAlign w:val="center"/>
            <w:shd w:val="clear" w:color="auto" w:fill="1F497D"/>
          </w:tcPr>
          <w:p>
            <w:pPr>
              <w:jc w:val="center"/>
            </w:pPr>
            <w:r>
              <w:rPr>
                <w:b/>
                <w:i w:val="0"/>
                <w:color w:val="FFFFFF"/>
                <w:sz w:val="22"/>
              </w:rPr>
              <w:t>Nội dung công việc</w:t>
            </w:r>
          </w:p>
        </w:tc>
        <w:tc>
          <w:tcPr>
            <w:tcW w:type="dxa" w:w="2551"/>
            <w:vAlign w:val="center"/>
            <w:shd w:val="clear" w:color="auto" w:fill="1F497D"/>
          </w:tcPr>
          <w:p>
            <w:pPr>
              <w:jc w:val="center"/>
            </w:pPr>
            <w:r>
              <w:rPr>
                <w:b/>
                <w:i w:val="0"/>
                <w:color w:val="FFFFFF"/>
                <w:sz w:val="22"/>
              </w:rPr>
              <w:t>Phương thức ký số</w:t>
            </w:r>
          </w:p>
        </w:tc>
        <w:tc>
          <w:tcPr>
            <w:tcW w:type="dxa" w:w="3118"/>
            <w:vAlign w:val="center"/>
            <w:shd w:val="clear" w:color="auto" w:fill="1F497D"/>
          </w:tcPr>
          <w:p>
            <w:pPr>
              <w:jc w:val="center"/>
            </w:pPr>
            <w:r>
              <w:rPr>
                <w:b/>
                <w:i w:val="0"/>
                <w:color w:val="FFFFFF"/>
                <w:sz w:val="22"/>
              </w:rPr>
              <w:t>Kết quả đầu ra</w:t>
            </w:r>
          </w:p>
        </w:tc>
      </w:tr>
      <w:tr>
        <w:trPr>
          <w:trHeight w:val="1417"/>
        </w:trPr>
        <w:tc>
          <w:tcPr>
            <w:tcW w:type="dxa" w:w="850"/>
            <w:vAlign w:val="center"/>
            <w:shd w:val="clear" w:color="auto" w:fill="F2F7FF"/>
          </w:tcPr>
          <w:p>
            <w:pPr>
              <w:jc w:val="center"/>
            </w:pPr>
            <w:r>
              <w:rPr>
                <w:b/>
                <w:i w:val="0"/>
                <w:color w:val="1F497D"/>
                <w:sz w:val="22"/>
              </w:rPr>
              <w:t>1</w:t>
            </w:r>
          </w:p>
        </w:tc>
        <w:tc>
          <w:tcPr>
            <w:tcW w:type="dxa" w:w="2381"/>
            <w:vAlign w:val="center"/>
            <w:shd w:val="clear" w:color="auto" w:fill="F2F7FF"/>
          </w:tcPr>
          <w:p>
            <w:pPr>
              <w:jc w:val="left"/>
            </w:pPr>
            <w:r>
              <w:rPr>
                <w:b w:val="0"/>
                <w:i w:val="0"/>
                <w:sz w:val="22"/>
              </w:rPr>
              <w:t>Cán bộ thụ lý</w:t>
            </w:r>
          </w:p>
        </w:tc>
        <w:tc>
          <w:tcPr>
            <w:tcW w:type="dxa" w:w="3969"/>
            <w:vAlign w:val="center"/>
            <w:shd w:val="clear" w:color="auto" w:fill="F2F7FF"/>
          </w:tcPr>
          <w:p>
            <w:pPr>
              <w:jc w:val="left"/>
            </w:pPr>
            <w:r>
              <w:rPr>
                <w:b w:val="0"/>
                <w:i w:val="0"/>
                <w:sz w:val="22"/>
              </w:rPr>
              <w:t>- Tiếp nhận, thẩm định hồ sơ</w:t>
            </w:r>
          </w:p>
          <w:p>
            <w:pPr>
              <w:jc w:val="left"/>
            </w:pPr>
            <w:r>
              <w:rPr>
                <w:b w:val="0"/>
                <w:sz w:val="22"/>
              </w:rPr>
              <w:t>- Nhập liệu, lập biểu mẫu và dự thảo quyết định trên phần mềm QLBHXH</w:t>
            </w:r>
          </w:p>
          <w:p>
            <w:pPr>
              <w:jc w:val="left"/>
            </w:pPr>
            <w:r>
              <w:rPr>
                <w:b w:val="0"/>
                <w:sz w:val="22"/>
              </w:rPr>
              <w:t>- Xác nhận nội dung đã thẩm định</w:t>
            </w:r>
          </w:p>
        </w:tc>
        <w:tc>
          <w:tcPr>
            <w:tcW w:type="dxa" w:w="2551"/>
            <w:vAlign w:val="center"/>
            <w:shd w:val="clear" w:color="auto" w:fill="F2F7FF"/>
          </w:tcPr>
          <w:p>
            <w:pPr>
              <w:jc w:val="left"/>
            </w:pPr>
            <w:r>
              <w:rPr>
                <w:b w:val="0"/>
                <w:i w:val="0"/>
                <w:sz w:val="22"/>
              </w:rPr>
              <w:t>Ký số xác nhận bằng chứng thư số cá nhân</w:t>
            </w:r>
          </w:p>
          <w:p>
            <w:pPr>
              <w:jc w:val="left"/>
            </w:pPr>
            <w:r>
              <w:rPr>
                <w:b w:val="0"/>
                <w:sz w:val="22"/>
              </w:rPr>
              <w:t>(Token USB hoặc Soft Certificate)</w:t>
            </w:r>
          </w:p>
        </w:tc>
        <w:tc>
          <w:tcPr>
            <w:tcW w:type="dxa" w:w="3118"/>
            <w:vAlign w:val="center"/>
            <w:shd w:val="clear" w:color="auto" w:fill="F2F7FF"/>
          </w:tcPr>
          <w:p>
            <w:pPr>
              <w:jc w:val="left"/>
            </w:pPr>
            <w:r>
              <w:rPr>
                <w:b w:val="0"/>
                <w:i w:val="0"/>
                <w:sz w:val="22"/>
              </w:rPr>
              <w:t>Hồ sơ điện tử được xác nhận, tự động chuyển lên bước tiếp theo trên hệ thống</w:t>
            </w:r>
          </w:p>
        </w:tc>
      </w:tr>
      <w:tr>
        <w:trPr>
          <w:trHeight w:val="1417"/>
        </w:trPr>
        <w:tc>
          <w:tcPr>
            <w:tcW w:type="dxa" w:w="850"/>
            <w:vAlign w:val="center"/>
            <w:shd w:val="clear" w:color="auto" w:fill="FFFFFF"/>
          </w:tcPr>
          <w:p>
            <w:pPr>
              <w:jc w:val="center"/>
            </w:pPr>
            <w:r>
              <w:rPr>
                <w:b/>
                <w:i w:val="0"/>
                <w:color w:val="1F497D"/>
                <w:sz w:val="22"/>
              </w:rPr>
              <w:t>2</w:t>
            </w:r>
          </w:p>
        </w:tc>
        <w:tc>
          <w:tcPr>
            <w:tcW w:type="dxa" w:w="2381"/>
            <w:vAlign w:val="center"/>
            <w:shd w:val="clear" w:color="auto" w:fill="FFFFFF"/>
          </w:tcPr>
          <w:p>
            <w:pPr>
              <w:jc w:val="left"/>
            </w:pPr>
            <w:r>
              <w:rPr>
                <w:b w:val="0"/>
                <w:i w:val="0"/>
                <w:sz w:val="22"/>
              </w:rPr>
              <w:t>Lãnh đạo bộ phận</w:t>
            </w:r>
          </w:p>
        </w:tc>
        <w:tc>
          <w:tcPr>
            <w:tcW w:type="dxa" w:w="3969"/>
            <w:vAlign w:val="center"/>
            <w:shd w:val="clear" w:color="auto" w:fill="FFFFFF"/>
          </w:tcPr>
          <w:p>
            <w:pPr>
              <w:jc w:val="left"/>
            </w:pPr>
            <w:r>
              <w:rPr>
                <w:b w:val="0"/>
                <w:i w:val="0"/>
                <w:sz w:val="22"/>
              </w:rPr>
              <w:t>- Kiểm tra tính đầy đủ, hợp lệ của hồ sơ</w:t>
            </w:r>
          </w:p>
          <w:p>
            <w:pPr>
              <w:jc w:val="left"/>
            </w:pPr>
            <w:r>
              <w:rPr>
                <w:b w:val="0"/>
                <w:sz w:val="22"/>
              </w:rPr>
              <w:t>- Đối chiếu nội dung dự thảo quyết định với hồ sơ gốc</w:t>
            </w:r>
          </w:p>
          <w:p>
            <w:pPr>
              <w:jc w:val="left"/>
            </w:pPr>
            <w:r>
              <w:rPr>
                <w:b w:val="0"/>
                <w:sz w:val="22"/>
              </w:rPr>
              <w:t>- Phê duyệt hoặc trả lại cán bộ chỉnh sửa</w:t>
            </w:r>
          </w:p>
        </w:tc>
        <w:tc>
          <w:tcPr>
            <w:tcW w:type="dxa" w:w="2551"/>
            <w:vAlign w:val="center"/>
            <w:shd w:val="clear" w:color="auto" w:fill="FFFFFF"/>
          </w:tcPr>
          <w:p>
            <w:pPr>
              <w:jc w:val="left"/>
            </w:pPr>
            <w:r>
              <w:rPr>
                <w:b w:val="0"/>
                <w:i w:val="0"/>
                <w:sz w:val="22"/>
              </w:rPr>
              <w:t>Ký số phê duyệt cấp 1</w:t>
            </w:r>
          </w:p>
          <w:p>
            <w:pPr>
              <w:jc w:val="left"/>
            </w:pPr>
            <w:r>
              <w:rPr>
                <w:b w:val="0"/>
                <w:sz w:val="22"/>
              </w:rPr>
              <w:t>bằng chứng thư số cá nhân</w:t>
            </w:r>
          </w:p>
        </w:tc>
        <w:tc>
          <w:tcPr>
            <w:tcW w:type="dxa" w:w="3118"/>
            <w:vAlign w:val="center"/>
            <w:shd w:val="clear" w:color="auto" w:fill="FFFFFF"/>
          </w:tcPr>
          <w:p>
            <w:pPr>
              <w:jc w:val="left"/>
            </w:pPr>
            <w:r>
              <w:rPr>
                <w:b w:val="0"/>
                <w:i w:val="0"/>
                <w:sz w:val="22"/>
              </w:rPr>
              <w:t>Hồ sơ được xác thực cấp bộ phận, tự động chuyển lên lãnh đạo phòng</w:t>
            </w:r>
          </w:p>
        </w:tc>
      </w:tr>
      <w:tr>
        <w:trPr>
          <w:trHeight w:val="1417"/>
        </w:trPr>
        <w:tc>
          <w:tcPr>
            <w:tcW w:type="dxa" w:w="850"/>
            <w:vAlign w:val="center"/>
            <w:shd w:val="clear" w:color="auto" w:fill="F2F7FF"/>
          </w:tcPr>
          <w:p>
            <w:pPr>
              <w:jc w:val="center"/>
            </w:pPr>
            <w:r>
              <w:rPr>
                <w:b/>
                <w:i w:val="0"/>
                <w:color w:val="1F497D"/>
                <w:sz w:val="22"/>
              </w:rPr>
              <w:t>3</w:t>
            </w:r>
          </w:p>
        </w:tc>
        <w:tc>
          <w:tcPr>
            <w:tcW w:type="dxa" w:w="2381"/>
            <w:vAlign w:val="center"/>
            <w:shd w:val="clear" w:color="auto" w:fill="F2F7FF"/>
          </w:tcPr>
          <w:p>
            <w:pPr>
              <w:jc w:val="left"/>
            </w:pPr>
            <w:r>
              <w:rPr>
                <w:b w:val="0"/>
                <w:i w:val="0"/>
                <w:sz w:val="22"/>
              </w:rPr>
              <w:t>Lãnh đạo phòng</w:t>
            </w:r>
          </w:p>
          <w:p>
            <w:pPr>
              <w:jc w:val="left"/>
            </w:pPr>
            <w:r>
              <w:rPr>
                <w:b w:val="0"/>
                <w:sz w:val="22"/>
              </w:rPr>
              <w:t>(Trưởng/Phó phòng)</w:t>
            </w:r>
          </w:p>
        </w:tc>
        <w:tc>
          <w:tcPr>
            <w:tcW w:type="dxa" w:w="3969"/>
            <w:vAlign w:val="center"/>
            <w:shd w:val="clear" w:color="auto" w:fill="F2F7FF"/>
          </w:tcPr>
          <w:p>
            <w:pPr>
              <w:jc w:val="left"/>
            </w:pPr>
            <w:r>
              <w:rPr>
                <w:b w:val="0"/>
                <w:i w:val="0"/>
                <w:sz w:val="22"/>
              </w:rPr>
              <w:t>- Rà soát toàn diện nội dung hồ sơ và quyết định</w:t>
            </w:r>
          </w:p>
          <w:p>
            <w:pPr>
              <w:jc w:val="left"/>
            </w:pPr>
            <w:r>
              <w:rPr>
                <w:b w:val="0"/>
                <w:sz w:val="22"/>
              </w:rPr>
              <w:t>- Kiểm tra tính chính xác về chế độ, chính sách</w:t>
            </w:r>
          </w:p>
          <w:p>
            <w:pPr>
              <w:jc w:val="left"/>
            </w:pPr>
            <w:r>
              <w:rPr>
                <w:b w:val="0"/>
                <w:sz w:val="22"/>
              </w:rPr>
              <w:t>- Xác nhận đủ điều kiện trình Giám đốc</w:t>
            </w:r>
          </w:p>
        </w:tc>
        <w:tc>
          <w:tcPr>
            <w:tcW w:type="dxa" w:w="2551"/>
            <w:vAlign w:val="center"/>
            <w:shd w:val="clear" w:color="auto" w:fill="F2F7FF"/>
          </w:tcPr>
          <w:p>
            <w:pPr>
              <w:jc w:val="left"/>
            </w:pPr>
            <w:r>
              <w:rPr>
                <w:b w:val="0"/>
                <w:i w:val="0"/>
                <w:sz w:val="22"/>
              </w:rPr>
              <w:t>Ký số phê duyệt cấp 2</w:t>
            </w:r>
          </w:p>
          <w:p>
            <w:pPr>
              <w:jc w:val="left"/>
            </w:pPr>
            <w:r>
              <w:rPr>
                <w:b w:val="0"/>
                <w:sz w:val="22"/>
              </w:rPr>
              <w:t>bằng chứng thư số cá nhân</w:t>
            </w:r>
          </w:p>
        </w:tc>
        <w:tc>
          <w:tcPr>
            <w:tcW w:type="dxa" w:w="3118"/>
            <w:vAlign w:val="center"/>
            <w:shd w:val="clear" w:color="auto" w:fill="F2F7FF"/>
          </w:tcPr>
          <w:p>
            <w:pPr>
              <w:jc w:val="left"/>
            </w:pPr>
            <w:r>
              <w:rPr>
                <w:b w:val="0"/>
                <w:i w:val="0"/>
                <w:sz w:val="22"/>
              </w:rPr>
              <w:t>Hồ sơ được xác thực cấp phòng, tự động chuyển lên Giám đốc phê duyệt</w:t>
            </w:r>
          </w:p>
        </w:tc>
      </w:tr>
      <w:tr>
        <w:trPr>
          <w:trHeight w:val="1417"/>
        </w:trPr>
        <w:tc>
          <w:tcPr>
            <w:tcW w:type="dxa" w:w="850"/>
            <w:vAlign w:val="center"/>
            <w:shd w:val="clear" w:color="auto" w:fill="FFFFFF"/>
          </w:tcPr>
          <w:p>
            <w:pPr>
              <w:jc w:val="center"/>
            </w:pPr>
            <w:r>
              <w:rPr>
                <w:b/>
                <w:i w:val="0"/>
                <w:color w:val="1F497D"/>
                <w:sz w:val="22"/>
              </w:rPr>
              <w:t>4</w:t>
            </w:r>
          </w:p>
        </w:tc>
        <w:tc>
          <w:tcPr>
            <w:tcW w:type="dxa" w:w="2381"/>
            <w:vAlign w:val="center"/>
            <w:shd w:val="clear" w:color="auto" w:fill="FFFFFF"/>
          </w:tcPr>
          <w:p>
            <w:pPr>
              <w:jc w:val="left"/>
            </w:pPr>
            <w:r>
              <w:rPr>
                <w:b w:val="0"/>
                <w:i w:val="0"/>
                <w:sz w:val="22"/>
              </w:rPr>
              <w:t>Giám đốc</w:t>
            </w:r>
          </w:p>
          <w:p>
            <w:pPr>
              <w:jc w:val="left"/>
            </w:pPr>
            <w:r>
              <w:rPr>
                <w:b w:val="0"/>
                <w:sz w:val="22"/>
              </w:rPr>
              <w:t>(hoặc người được ủy quyền)</w:t>
            </w:r>
          </w:p>
        </w:tc>
        <w:tc>
          <w:tcPr>
            <w:tcW w:type="dxa" w:w="3969"/>
            <w:vAlign w:val="center"/>
            <w:shd w:val="clear" w:color="auto" w:fill="FFFFFF"/>
          </w:tcPr>
          <w:p>
            <w:pPr>
              <w:jc w:val="left"/>
            </w:pPr>
            <w:r>
              <w:rPr>
                <w:b w:val="0"/>
                <w:i w:val="0"/>
                <w:sz w:val="22"/>
              </w:rPr>
              <w:t>- Xem xét, phê duyệt quyết định giải quyết chế độ BHXH</w:t>
            </w:r>
          </w:p>
          <w:p>
            <w:pPr>
              <w:jc w:val="left"/>
            </w:pPr>
            <w:r>
              <w:rPr>
                <w:b w:val="0"/>
                <w:sz w:val="22"/>
              </w:rPr>
              <w:t>- Ký số ban hành quyết định chính thức</w:t>
            </w:r>
          </w:p>
          <w:p>
            <w:pPr>
              <w:jc w:val="left"/>
            </w:pPr>
            <w:r>
              <w:rPr>
                <w:b w:val="0"/>
                <w:sz w:val="22"/>
              </w:rPr>
              <w:t>- Hệ thống ghi nhận dấu thời gian (timestamp) tại thời điểm ký</w:t>
            </w:r>
          </w:p>
        </w:tc>
        <w:tc>
          <w:tcPr>
            <w:tcW w:type="dxa" w:w="2551"/>
            <w:vAlign w:val="center"/>
            <w:shd w:val="clear" w:color="auto" w:fill="FFFFFF"/>
          </w:tcPr>
          <w:p>
            <w:pPr>
              <w:jc w:val="left"/>
            </w:pPr>
            <w:r>
              <w:rPr>
                <w:b w:val="0"/>
                <w:i w:val="0"/>
                <w:sz w:val="22"/>
              </w:rPr>
              <w:t>Ký số ban hành</w:t>
            </w:r>
          </w:p>
          <w:p>
            <w:pPr>
              <w:jc w:val="left"/>
            </w:pPr>
            <w:r>
              <w:rPr>
                <w:b w:val="0"/>
                <w:sz w:val="22"/>
              </w:rPr>
              <w:t>bằng chứng thư số cá nhân</w:t>
            </w:r>
          </w:p>
          <w:p>
            <w:pPr>
              <w:jc w:val="left"/>
            </w:pPr>
            <w:r>
              <w:rPr>
                <w:b w:val="0"/>
                <w:sz w:val="22"/>
              </w:rPr>
              <w:t>(có dấu thời gian số - TSA)</w:t>
            </w:r>
          </w:p>
        </w:tc>
        <w:tc>
          <w:tcPr>
            <w:tcW w:type="dxa" w:w="3118"/>
            <w:vAlign w:val="center"/>
            <w:shd w:val="clear" w:color="auto" w:fill="FFFFFF"/>
          </w:tcPr>
          <w:p>
            <w:pPr>
              <w:jc w:val="left"/>
            </w:pPr>
            <w:r>
              <w:rPr>
                <w:b w:val="0"/>
                <w:i w:val="0"/>
                <w:sz w:val="22"/>
              </w:rPr>
              <w:t>Quyết định có giá trị pháp lý đầy đủ theo Luật Giao dịch điện tử 2023; hệ thống tự động cập nhật trạng thái</w:t>
            </w:r>
          </w:p>
        </w:tc>
      </w:tr>
      <w:tr>
        <w:trPr>
          <w:trHeight w:val="1417"/>
        </w:trPr>
        <w:tc>
          <w:tcPr>
            <w:tcW w:type="dxa" w:w="850"/>
            <w:vAlign w:val="center"/>
            <w:shd w:val="clear" w:color="auto" w:fill="F2F7FF"/>
          </w:tcPr>
          <w:p>
            <w:pPr>
              <w:jc w:val="center"/>
            </w:pPr>
            <w:r>
              <w:rPr>
                <w:b/>
                <w:i w:val="0"/>
                <w:color w:val="1F497D"/>
                <w:sz w:val="22"/>
              </w:rPr>
              <w:t>5</w:t>
            </w:r>
          </w:p>
        </w:tc>
        <w:tc>
          <w:tcPr>
            <w:tcW w:type="dxa" w:w="2381"/>
            <w:vAlign w:val="center"/>
            <w:shd w:val="clear" w:color="auto" w:fill="F2F7FF"/>
          </w:tcPr>
          <w:p>
            <w:pPr>
              <w:jc w:val="left"/>
            </w:pPr>
            <w:r>
              <w:rPr>
                <w:b w:val="0"/>
                <w:i w:val="0"/>
                <w:sz w:val="22"/>
              </w:rPr>
              <w:t>Hệ thống QLBHXH</w:t>
            </w:r>
          </w:p>
          <w:p>
            <w:pPr>
              <w:jc w:val="left"/>
            </w:pPr>
            <w:r>
              <w:rPr>
                <w:b w:val="0"/>
                <w:sz w:val="22"/>
              </w:rPr>
              <w:t>(Tự động)</w:t>
            </w:r>
          </w:p>
        </w:tc>
        <w:tc>
          <w:tcPr>
            <w:tcW w:type="dxa" w:w="3969"/>
            <w:vAlign w:val="center"/>
            <w:shd w:val="clear" w:color="auto" w:fill="F2F7FF"/>
          </w:tcPr>
          <w:p>
            <w:pPr>
              <w:jc w:val="left"/>
            </w:pPr>
            <w:r>
              <w:rPr>
                <w:b w:val="0"/>
                <w:i w:val="0"/>
                <w:sz w:val="22"/>
              </w:rPr>
              <w:t>- Tự động cập nhật trạng thái hồ sơ</w:t>
            </w:r>
          </w:p>
          <w:p>
            <w:pPr>
              <w:jc w:val="left"/>
            </w:pPr>
            <w:r>
              <w:rPr>
                <w:b w:val="0"/>
                <w:sz w:val="22"/>
              </w:rPr>
              <w:t>- Lưu trữ toàn bộ hồ sơ điện tử kèm chữ ký số</w:t>
            </w:r>
          </w:p>
          <w:p>
            <w:pPr>
              <w:jc w:val="left"/>
            </w:pPr>
            <w:r>
              <w:rPr>
                <w:b w:val="0"/>
                <w:sz w:val="22"/>
              </w:rPr>
              <w:t>- Thông báo đến các bên liên quan</w:t>
            </w:r>
          </w:p>
          <w:p>
            <w:pPr>
              <w:jc w:val="left"/>
            </w:pPr>
            <w:r>
              <w:rPr>
                <w:b w:val="0"/>
                <w:sz w:val="22"/>
              </w:rPr>
              <w:t>- Sinh log kiểm toán (audit trail) đầy đủ</w:t>
            </w:r>
          </w:p>
        </w:tc>
        <w:tc>
          <w:tcPr>
            <w:tcW w:type="dxa" w:w="2551"/>
            <w:vAlign w:val="center"/>
            <w:shd w:val="clear" w:color="auto" w:fill="F2F7FF"/>
          </w:tcPr>
          <w:p>
            <w:pPr>
              <w:jc w:val="left"/>
            </w:pPr>
            <w:r>
              <w:rPr>
                <w:b w:val="0"/>
                <w:i w:val="0"/>
                <w:sz w:val="22"/>
              </w:rPr>
              <w:t>Không yêu cầu thao tác ký số</w:t>
            </w:r>
          </w:p>
          <w:p>
            <w:pPr>
              <w:jc w:val="left"/>
            </w:pPr>
            <w:r>
              <w:rPr>
                <w:b w:val="0"/>
                <w:sz w:val="22"/>
              </w:rPr>
              <w:t>(Xử lý tự động)</w:t>
            </w:r>
          </w:p>
        </w:tc>
        <w:tc>
          <w:tcPr>
            <w:tcW w:type="dxa" w:w="3118"/>
            <w:vAlign w:val="center"/>
            <w:shd w:val="clear" w:color="auto" w:fill="F2F7FF"/>
          </w:tcPr>
          <w:p>
            <w:pPr>
              <w:jc w:val="left"/>
            </w:pPr>
            <w:r>
              <w:rPr>
                <w:b w:val="0"/>
                <w:i w:val="0"/>
                <w:sz w:val="22"/>
              </w:rPr>
              <w:t>Hồ sơ điện tử được lưu trữ an toàn; log kiểm toán ghi đầy đủ lịch sử xử lý</w:t>
            </w:r>
          </w:p>
        </w:tc>
      </w:tr>
      <w:tr>
        <w:trPr>
          <w:trHeight w:val="1417"/>
        </w:trPr>
        <w:tc>
          <w:tcPr>
            <w:tcW w:type="dxa" w:w="850"/>
            <w:vAlign w:val="center"/>
            <w:shd w:val="clear" w:color="auto" w:fill="FFFFFF"/>
          </w:tcPr>
          <w:p>
            <w:pPr>
              <w:jc w:val="center"/>
            </w:pPr>
            <w:r>
              <w:rPr>
                <w:b/>
                <w:i w:val="0"/>
                <w:color w:val="1F497D"/>
                <w:sz w:val="22"/>
              </w:rPr>
              <w:t>6</w:t>
            </w:r>
          </w:p>
        </w:tc>
        <w:tc>
          <w:tcPr>
            <w:tcW w:type="dxa" w:w="2381"/>
            <w:vAlign w:val="center"/>
            <w:shd w:val="clear" w:color="auto" w:fill="FFFFFF"/>
          </w:tcPr>
          <w:p>
            <w:pPr>
              <w:jc w:val="left"/>
            </w:pPr>
            <w:r>
              <w:rPr>
                <w:b w:val="0"/>
                <w:i w:val="0"/>
                <w:sz w:val="22"/>
              </w:rPr>
              <w:t>Văn thư</w:t>
            </w:r>
          </w:p>
        </w:tc>
        <w:tc>
          <w:tcPr>
            <w:tcW w:type="dxa" w:w="3969"/>
            <w:vAlign w:val="center"/>
            <w:shd w:val="clear" w:color="auto" w:fill="FFFFFF"/>
          </w:tcPr>
          <w:p>
            <w:pPr>
              <w:jc w:val="left"/>
            </w:pPr>
            <w:r>
              <w:rPr>
                <w:b w:val="0"/>
                <w:i w:val="0"/>
                <w:sz w:val="22"/>
              </w:rPr>
              <w:t>- Tiếp nhận hồ sơ điện tử đã được phê duyệt</w:t>
            </w:r>
          </w:p>
          <w:p>
            <w:pPr>
              <w:jc w:val="left"/>
            </w:pPr>
            <w:r>
              <w:rPr>
                <w:b w:val="0"/>
                <w:sz w:val="22"/>
              </w:rPr>
              <w:t>- Đăng ký số văn bản trên hệ thống</w:t>
            </w:r>
          </w:p>
          <w:p>
            <w:pPr>
              <w:jc w:val="left"/>
            </w:pPr>
            <w:r>
              <w:rPr>
                <w:b w:val="0"/>
                <w:sz w:val="22"/>
              </w:rPr>
              <w:t>- Phát hành bản giấy (nếu pháp luật yêu cầu)</w:t>
            </w:r>
          </w:p>
          <w:p>
            <w:pPr>
              <w:jc w:val="left"/>
            </w:pPr>
            <w:r>
              <w:rPr>
                <w:b w:val="0"/>
                <w:sz w:val="22"/>
              </w:rPr>
              <w:t>- Lưu trữ hồ sơ điện tử theo quy định</w:t>
            </w:r>
          </w:p>
        </w:tc>
        <w:tc>
          <w:tcPr>
            <w:tcW w:type="dxa" w:w="2551"/>
            <w:vAlign w:val="center"/>
            <w:shd w:val="clear" w:color="auto" w:fill="FFFFFF"/>
          </w:tcPr>
          <w:p>
            <w:pPr>
              <w:jc w:val="left"/>
            </w:pPr>
            <w:r>
              <w:rPr>
                <w:b w:val="0"/>
                <w:i w:val="0"/>
                <w:sz w:val="22"/>
              </w:rPr>
              <w:t>Ký số xác nhận đã phát hành</w:t>
            </w:r>
          </w:p>
          <w:p>
            <w:pPr>
              <w:jc w:val="left"/>
            </w:pPr>
            <w:r>
              <w:rPr>
                <w:b w:val="0"/>
                <w:sz w:val="22"/>
              </w:rPr>
              <w:t>(nếu có)</w:t>
            </w:r>
          </w:p>
        </w:tc>
        <w:tc>
          <w:tcPr>
            <w:tcW w:type="dxa" w:w="3118"/>
            <w:vAlign w:val="center"/>
            <w:shd w:val="clear" w:color="auto" w:fill="FFFFFF"/>
          </w:tcPr>
          <w:p>
            <w:pPr>
              <w:jc w:val="left"/>
            </w:pPr>
            <w:r>
              <w:rPr>
                <w:b w:val="0"/>
                <w:i w:val="0"/>
                <w:sz w:val="22"/>
              </w:rPr>
              <w:t>Hồ sơ được phát hành và lưu trữ; hạn chế tối đa in ấn bản giấy</w:t>
            </w:r>
          </w:p>
        </w:tc>
      </w:tr>
    </w:tbl>
    <w:p/>
    <w:p>
      <w:r>
        <w:rPr>
          <w:b/>
          <w:sz w:val="20"/>
        </w:rPr>
        <w:t xml:space="preserve">Ghi chú: </w:t>
      </w:r>
      <w:r>
        <w:rPr>
          <w:i/>
          <w:sz w:val="20"/>
        </w:rPr>
        <w:t>Toàn bộ chữ ký số tuân thủ chuẩn PKCS#1 v2.1, chứng thư số theo chuẩn X.509, tích hợp PKI của Bộ Quốc phòng. Quyết định sau khi ký số có giá trị pháp lý tương đương văn bản giấy có chữ ký tay và dấu đỏ theo Luật Giao dịch điện tử số 20/2023/QH15.</w:t>
      </w:r>
    </w:p>
    <w:sectPr w:rsidR="00FC693F" w:rsidRPr="0006063C" w:rsidSect="00034616">
      <w:pgSz w:w="16834" w:h="1190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