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b/>
          <w:color w:val="000000"/>
          <w:sz w:val="28"/>
        </w:rPr>
        <w:t>TỜ TRÌNH</w:t>
      </w:r>
    </w:p>
    <w:p>
      <w:pPr>
        <w:jc w:val="center"/>
      </w:pPr>
      <w:r>
        <w:rPr>
          <w:b/>
          <w:color w:val="000000"/>
          <w:sz w:val="28"/>
        </w:rPr>
        <w:t xml:space="preserve">V/v đề nghị trang bị giải pháp ký số xác thực </w:t>
      </w:r>
    </w:p>
    <w:p>
      <w:pPr>
        <w:jc w:val="center"/>
      </w:pPr>
      <w:r>
        <w:rPr>
          <w:b/>
          <w:color w:val="000000"/>
          <w:sz w:val="28"/>
        </w:rPr>
        <w:t>quyết định và hồ sơ nghỉ hưởng chế độ bảo hiểm xã hội</w:t>
      </w:r>
    </w:p>
    <w:p>
      <w:pPr>
        <w:ind w:firstLine="567"/>
      </w:pPr>
      <w:r>
        <w:rPr>
          <w:color w:val="000000"/>
          <w:sz w:val="28"/>
        </w:rPr>
        <w:t>Kính gửi:</w:t>
      </w:r>
      <w:r>
        <w:rPr>
          <w:color w:val="000000"/>
          <w:sz w:val="28"/>
        </w:rPr>
        <w:t xml:space="preserve"> </w:t>
      </w:r>
    </w:p>
    <w:p>
      <w:pPr>
        <w:ind w:firstLine="1418"/>
      </w:pPr>
      <w:r>
        <w:rPr>
          <w:color w:val="000000"/>
          <w:sz w:val="28"/>
        </w:rPr>
        <w:t>- Thiếu tướng Đoàn Quang Hòa,</w:t>
      </w:r>
      <w:r>
        <w:rPr>
          <w:color w:val="000000"/>
          <w:sz w:val="28"/>
        </w:rPr>
        <w:t xml:space="preserve"> </w:t>
      </w:r>
      <w:r>
        <w:rPr>
          <w:color w:val="000000"/>
          <w:sz w:val="28"/>
        </w:rPr>
        <w:t>Cục Trưởng Cục Chính sách - Xã hội.</w:t>
      </w:r>
    </w:p>
    <w:p>
      <w:pPr>
        <w:ind w:left="1560" w:hanging="142"/>
      </w:pPr>
      <w:r>
        <w:rPr>
          <w:color w:val="000000"/>
          <w:sz w:val="28"/>
        </w:rPr>
        <w:t xml:space="preserve">- Thiếu tướng Cao Xuân Thắng, Cục Trưởng Cục Chính sách - Xã hội, </w:t>
      </w:r>
      <w:r>
        <w:rPr>
          <w:color w:val="000000"/>
          <w:sz w:val="28"/>
        </w:rPr>
        <w:t xml:space="preserve">         </w:t>
      </w:r>
      <w:r>
        <w:rPr>
          <w:color w:val="000000"/>
          <w:sz w:val="28"/>
        </w:rPr>
        <w:t>Giám đốc Bảo hiểm xã hội Quân đội.</w:t>
      </w:r>
    </w:p>
    <w:p>
      <w:pPr>
        <w:spacing w:before="120" w:after="120"/>
        <w:ind w:firstLine="567"/>
        <w:jc w:val="both"/>
      </w:pPr>
      <w:r>
        <w:rPr>
          <w:color w:val="000000"/>
          <w:sz w:val="28"/>
        </w:rPr>
        <w:t>Thực hiện ý kiến chỉ đạo của Thủ trưởng Cục, thời gian qua phòng Chế độ bảo hiểm xã hội (BHXH) đã tích cực triển khai ứng dụng phần mềm</w:t>
      </w:r>
      <w:r>
        <w:rPr>
          <w:color w:val="000000"/>
          <w:sz w:val="28"/>
        </w:rPr>
        <w:t xml:space="preserve"> </w:t>
      </w:r>
      <w:r>
        <w:rPr>
          <w:color w:val="000000"/>
          <w:sz w:val="28"/>
        </w:rPr>
        <w:t>Quản lý BHXH tập trung</w:t>
      </w:r>
      <w:r>
        <w:rPr>
          <w:color w:val="000000"/>
          <w:sz w:val="28"/>
        </w:rPr>
        <w:t xml:space="preserve"> (cụ thể là phân hệ </w:t>
      </w:r>
      <w:r>
        <w:rPr>
          <w:color w:val="000000"/>
          <w:sz w:val="28"/>
        </w:rPr>
        <w:t>Quản lý giải quyết chế độ dài hạn: Hưu trí, tử tuất...</w:t>
      </w:r>
      <w:r>
        <w:rPr>
          <w:color w:val="000000"/>
          <w:sz w:val="28"/>
        </w:rPr>
        <w:t xml:space="preserve">) vào để thực hiện nghiệp vụ giải quyết chi trả các chế độ BHXH. </w:t>
      </w:r>
      <w:r>
        <w:rPr>
          <w:color w:val="000000"/>
          <w:sz w:val="28"/>
        </w:rPr>
        <w:t>Hiện nay, Phòng Chế độ BHXH đã triển khai sử dụng Phân hệ Quản lý giải quyết chi trả các chế độ BHXH thuộc phần mềm ASMS trong quá trình tiếp nhận, thẩm định và giải quyết hồ sơ hưởng các chế độ BHXH. Việc ứng dụng phần mềm đã mang lại hiệu quả rõ rệt, góp phần nâng cao năng suất lao động, giảm thời gian xử lý hồ sơ và từng bước thực hiện chuyển đổi số trong công tác nghiệp vụ.</w:t>
      </w:r>
      <w:r>
        <w:rPr>
          <w:color w:val="000000"/>
          <w:sz w:val="28"/>
        </w:rPr>
        <w:t xml:space="preserve"> </w:t>
      </w:r>
      <w:r>
        <w:rPr>
          <w:color w:val="000000"/>
          <w:sz w:val="28"/>
        </w:rPr>
        <w:t>Tuy nhiên, mặc dù các khâu tiếp nhận, xử lý và thẩm định hồ sơ đã được thực hiện trên môi trường điện tử, nhưng việc ký duyệt các quyết định giải quyết chế độ BHXH hiện vẫn thực hiện theo phương thức thủ công trên hồ sơ giấy</w:t>
      </w:r>
      <w:r>
        <w:rPr>
          <w:color w:val="000000"/>
          <w:sz w:val="28"/>
        </w:rPr>
        <w:t xml:space="preserve">, </w:t>
      </w:r>
      <w:r>
        <w:rPr>
          <w:color w:val="000000"/>
          <w:sz w:val="28"/>
        </w:rPr>
        <w:t>làm gián đoạn quy trình xử lý điện tử khép kín, phát sinh thêm thời gian in ấn, luân chuyển hồ sơ, trình ký và lưu trữ văn bản, ảnh hưởng đến tiến độ giải quyết hồ sơ, nhất là trong điều kiện số lượng hồ sơ phát sinh lớn.</w:t>
      </w:r>
    </w:p>
    <w:p>
      <w:r>
        <w:rPr>
          <w:b w:val="0"/>
          <w:i w:val="0"/>
          <w:sz w:val="24"/>
          <w:highlight w:val="yellow"/>
        </w:rPr>
      </w:r>
    </w:p>
    <w:p>
      <w:r>
        <w:rPr>
          <w:b/>
          <w:i w:val="0"/>
          <w:sz w:val="24"/>
          <w:highlight w:val="yellow"/>
        </w:rPr>
        <w:t>1. Hiện trạng thực hiện quy trình giải quyết chế độ BHXH</w:t>
      </w:r>
    </w:p>
    <w:p>
      <w:r>
        <w:rPr>
          <w:b w:val="0"/>
          <w:i w:val="0"/>
          <w:sz w:val="24"/>
          <w:highlight w:val="yellow"/>
        </w:rPr>
        <w:t>Hiện nay, toàn bộ quy trình giải quyết các chế độ BHXH dài hạn (hưu trí, tử tuất, thương tật...) tại Phòng Chế độ BHXH đang được thực hiện theo phương thức kết hợp: cán bộ nghiệp vụ nhập liệu, tra cứu trên phần mềm ASMS, nhưng các quyết định và hồ sơ pháp lý vẫn phải in ra giấy, trình ký tay và luân chuyển thủ công qua từng cấp thẩm quyền. Cụ thể:</w:t>
      </w:r>
    </w:p>
    <w:p>
      <w:r>
        <w:rPr>
          <w:b w:val="0"/>
          <w:i w:val="0"/>
          <w:sz w:val="24"/>
          <w:highlight w:val="yellow"/>
        </w:rPr>
        <w:t>a) Sau khi lập biểu mẫu, dự thảo quyết định trên phần mềm ASMS, cán bộ nghiệp vụ phải in hồ sơ ra giấy, trình lãnh đạo bộ phận → lãnh đạo phòng → Giám đốc ký tay, đóng dấu theo từng bước.</w:t>
      </w:r>
    </w:p>
    <w:p>
      <w:r>
        <w:rPr>
          <w:b w:val="0"/>
          <w:i w:val="0"/>
          <w:sz w:val="24"/>
          <w:highlight w:val="yellow"/>
        </w:rPr>
        <w:t>b) Hồ sơ giấy được chuyển tay qua nhiều bộ phận (nghiệp vụ → lãnh đạo → văn thư → lưu trữ), dẫn đến thời gian xử lý kéo dài, dễ thất lạc, khó truy vết khi cần kiểm tra.</w:t>
      </w:r>
    </w:p>
    <w:p>
      <w:r>
        <w:rPr>
          <w:b w:val="0"/>
          <w:i w:val="0"/>
          <w:sz w:val="24"/>
          <w:highlight w:val="yellow"/>
        </w:rPr>
        <w:t>c) Việc lưu trữ hồ sơ hiện nay chủ yếu bằng hồ sơ giấy vật lý, tốn diện tích kho lưu trữ và khó tra cứu khi cần. Trung bình mỗi năm Phòng Chế độ BHXH giải quyết hàng trăm hồ sơ chế độ dài hạn, mỗi hồ sơ có từ 05–15 loại văn bản, biểu mẫu, quyết định cần ký duyệt và lưu trữ.</w:t>
      </w:r>
    </w:p>
    <w:p>
      <w:r>
        <w:rPr>
          <w:b w:val="0"/>
          <w:i w:val="0"/>
          <w:sz w:val="24"/>
          <w:highlight w:val="yellow"/>
        </w:rPr>
        <w:t>d) Quy trình ký duyệt thủ công chưa được đồng bộ hoàn toàn với dữ liệu trên phần mềm ASMS: sau khi ký giấy, dữ liệu trạng thái hồ sơ trên hệ thống vẫn phải được cán bộ cập nhật lại thủ công, tiềm ẩn nguy cơ sai lệch giữa hồ sơ giấy và dữ liệu số.</w:t>
      </w:r>
    </w:p>
    <w:p>
      <w:r>
        <w:rPr>
          <w:b w:val="0"/>
          <w:i w:val="0"/>
          <w:sz w:val="24"/>
          <w:highlight w:val="yellow"/>
        </w:rPr>
        <w:t>e) Chữ ký tay chưa đáp ứng đầy đủ yêu cầu về giao dịch điện tử theo Luật Giao dịch điện tử 2023 và các quy định về chuyển đổi số trong BQP, chưa tạo được nền tảng để kết nối, trao đổi dữ liệu điện tử với các đơn vị liên quan.</w:t>
      </w:r>
    </w:p>
    <w:p>
      <w:r>
        <w:rPr>
          <w:b w:val="0"/>
          <w:i w:val="0"/>
          <w:sz w:val="24"/>
          <w:highlight w:val="yellow"/>
        </w:rPr>
        <w:t>Những hạn chế trên đặt ra yêu cầu cấp thiết phải triển khai giải pháp ký số điện tử tích hợp trực tiếp vào phần mềm ASMS nhằm hoàn thiện quy trình chuyên môn nghiệp vụ theo hướng điện tử hóa toàn trình.</w:t>
      </w:r>
    </w:p>
    <w:p>
      <w:r>
        <w:rPr>
          <w:b w:val="0"/>
          <w:i w:val="0"/>
          <w:sz w:val="24"/>
          <w:highlight w:val="yellow"/>
        </w:rPr>
      </w:r>
    </w:p>
    <w:p>
      <w:pPr>
        <w:spacing w:before="120" w:after="120"/>
        <w:ind w:firstLine="567"/>
        <w:jc w:val="both"/>
      </w:pPr>
      <w:r>
        <w:rPr>
          <w:color w:val="000000"/>
          <w:sz w:val="28"/>
        </w:rPr>
        <w:t>Để giảm bớt thời gian thực hiện quy trình chuyên môn nghiệp vụ, nâng cao hiểu quả công việc,</w:t>
      </w:r>
      <w:r>
        <w:rPr>
          <w:color w:val="000000"/>
          <w:sz w:val="28"/>
        </w:rPr>
        <w:t xml:space="preserve"> đồng thời</w:t>
      </w:r>
      <w:r>
        <w:rPr>
          <w:color w:val="000000"/>
          <w:sz w:val="28"/>
        </w:rPr>
        <w:t xml:space="preserve"> tăng cường </w:t>
      </w:r>
      <w:r>
        <w:rPr>
          <w:color w:val="000000"/>
          <w:sz w:val="28"/>
        </w:rPr>
        <w:t>hơn nữa việc chuyển đổi số, ứng dụng công nghệ thông tin theo chỉ đạo Thủ trưởng Cục, Phòng Chế độ BHXH xin đề xuất Thủ trưởng Cục triển khai giải pháp ký số xác thực đối với Quyết định và các thủ tục hồ sơ nghỉ hưởng các chế độ BHXH cụ thể như sau:</w:t>
      </w:r>
    </w:p>
    <w:p>
      <w:r>
        <w:rPr>
          <w:b/>
          <w:color w:val="C00000"/>
        </w:rPr>
        <w:t>2. Sự cần thiết triển khai giải pháp</w:t>
      </w:r>
    </w:p>
    <w:p>
      <w:pPr>
        <w:spacing w:before="120" w:after="120"/>
        <w:ind w:firstLine="567"/>
        <w:jc w:val="both"/>
      </w:pPr>
      <w:r>
        <w:rPr>
          <w:color w:val="000000"/>
          <w:sz w:val="28"/>
        </w:rPr>
        <w:t>- Đáp ứng yêu cầu hoàn thiện quy trình giải quyết chế độ BHXH trên môi trường điện tử, bảo đảm tính đồng bộ giữa các khâu tiếp nhận, xử lý, phê duyệt và lưu trữ hồ sơ.</w:t>
      </w:r>
    </w:p>
    <w:p>
      <w:pPr>
        <w:spacing w:before="120" w:after="120"/>
        <w:ind w:firstLine="567"/>
        <w:jc w:val="both"/>
      </w:pPr>
      <w:r>
        <w:rPr>
          <w:color w:val="000000"/>
          <w:sz w:val="28"/>
        </w:rPr>
        <w:t>-  Tạo cơ sở để xây dựng, quản lý và lưu trữ hồ sơ điện tử, từng bước giảm việc sử dụng hồ sơ giấy trong hoạt động nghiệp vụ.</w:t>
      </w:r>
    </w:p>
    <w:p>
      <w:pPr>
        <w:spacing w:before="120" w:after="120"/>
        <w:ind w:firstLine="567"/>
        <w:jc w:val="both"/>
      </w:pPr>
      <w:r>
        <w:rPr>
          <w:color w:val="000000"/>
          <w:sz w:val="28"/>
        </w:rPr>
        <w:t>-  Bảo đảm tính pháp lý, tính xác thực và toàn vẹn của các quyết định, văn bản điện tử theo quy định của pháp luật về giao dịch điện tử và chữ ký số.</w:t>
      </w:r>
    </w:p>
    <w:p>
      <w:pPr>
        <w:spacing w:before="120" w:after="120"/>
        <w:ind w:firstLine="567"/>
        <w:jc w:val="both"/>
      </w:pPr>
      <w:r>
        <w:rPr>
          <w:color w:val="000000"/>
          <w:sz w:val="28"/>
        </w:rPr>
        <w:t>-  Nâng cao tính công khai, minh bạch, khả năng kiểm tra, giám sát và truy vết quá trình giải quyết hồ sơ, góp phần hạn chế sai sót trong quá trình thực hiện nghiệp vụ.</w:t>
      </w:r>
    </w:p>
    <w:p>
      <w:pPr>
        <w:spacing w:before="120" w:after="120"/>
        <w:ind w:firstLine="567"/>
        <w:jc w:val="both"/>
      </w:pPr>
      <w:r>
        <w:rPr>
          <w:color w:val="000000"/>
          <w:sz w:val="28"/>
        </w:rPr>
        <w:t>-  Tạo nền tảng để kết nối, chia sẻ dữ liệu và triển khai các quy trình nghiệp vụ số trong thời gian tới, phù hợp với lộ trình chuyển đổi số của Cục.</w:t>
      </w:r>
    </w:p>
    <w:p>
      <w:r>
        <w:rPr>
          <w:b/>
          <w:color w:val="C00000"/>
        </w:rPr>
        <w:t>3. Căn cứ đề xuất</w:t>
      </w:r>
    </w:p>
    <w:p>
      <w:pPr>
        <w:ind w:left="0" w:firstLine="567"/>
        <w:jc w:val="both"/>
      </w:pPr>
      <w:r>
        <w:rPr>
          <w:color w:val="000000"/>
          <w:sz w:val="28"/>
        </w:rPr>
        <w:t>- Kế hoạch số 4396/KH-BQP ngày 04/11/2021 của BQP về phát triển Chính phủ điện tử hướng tới Chính phủ số trong BQP giai đoạn 2021-2025, định hướng đến năm 2030;</w:t>
      </w:r>
    </w:p>
    <w:p>
      <w:pPr>
        <w:spacing w:before="120" w:after="120"/>
        <w:ind w:firstLine="567"/>
        <w:jc w:val="both"/>
      </w:pPr>
      <w:r>
        <w:rPr>
          <w:color w:val="000000"/>
          <w:sz w:val="28"/>
        </w:rPr>
        <w:t>- Kế hoạch số 4325/KH-BQP ngày 08/11/2023 của BQP về triển khai thực hiện Đề án chuyển đổi số trong BQP đến năm 2025, định hướng đến năm 2030</w:t>
      </w:r>
    </w:p>
    <w:p>
      <w:pPr>
        <w:ind w:left="0" w:firstLine="567"/>
        <w:jc w:val="both"/>
      </w:pPr>
      <w:r>
        <w:rPr>
          <w:color w:val="000000"/>
          <w:sz w:val="28"/>
        </w:rPr>
        <w:t>- Công văn số 4227/BTL-PM ngày 25/11/2023 của Bộ Tư lệnh 86 về việc Hướng dẫn thực hiện Kế hoạch triển khai Đề án chuyển đổi số trong BQP đến năm 2025, định hướng đến năm 2030</w:t>
      </w:r>
      <w:r>
        <w:rPr>
          <w:color w:val="000000"/>
        </w:rPr>
        <w:t>.</w:t>
      </w:r>
    </w:p>
    <w:p>
      <w:r>
        <w:rPr>
          <w:b/>
          <w:color w:val="C00000"/>
        </w:rPr>
        <w:t>4. Nội dung đề xuất</w:t>
      </w:r>
    </w:p>
    <w:p>
      <w:r>
        <w:rPr>
          <w:b/>
          <w:color w:val="C00000"/>
        </w:rPr>
        <w:t>4.1. Đề xuất triển khai giải pháp ký số điện tử toàn trình trên Phân hệ Quản lý giải quyết chi trả các chế độ BHXH thuộc phần mềm ASMS đối với các quyết định, biểu mẫu và hồ sơ giải quyết chế độ BHXH.</w:t>
      </w:r>
    </w:p>
    <w:p>
      <w:r>
        <w:rPr>
          <w:b w:val="0"/>
          <w:i w:val="0"/>
          <w:sz w:val="24"/>
          <w:highlight w:val="yellow"/>
        </w:rPr>
        <w:t>Giải pháp ký số điện tử được tích hợp trực tiếp vào phân hệ Quản lý giải quyết chế độ dài hạn của phần mềm ASMS, cho phép thực hiện ký số xác thực tại từng bước của quy trình nghiệp vụ mà không cần chuyển đổi sang nền tảng khác. Chứng thư số (token USB hoặc chứng thư số mềm) được cấp cho từng cán bộ có thẩm quyền ký theo từng cấp: cán bộ thụ lý, lãnh đạo bộ phận, lãnh đạo phòng và Giám đốc (hoặc người được ủy quyền). Giải pháp sử dụng chữ ký số tuân thủ tiêu chuẩn PKCS#1 v2.1, xác thực theo chuẩn X.509 và tương thích với hạ tầng PKI (Public Key Infrastructure) hiện có trong hệ thống Bộ Quốc phòng.</w:t>
      </w:r>
    </w:p>
    <w:p>
      <w:r>
        <w:rPr>
          <w:b w:val="0"/>
          <w:i w:val="0"/>
          <w:sz w:val="24"/>
          <w:highlight w:val="yellow"/>
        </w:rPr>
        <w:t>Phạm vi áp dụng: Tất cả các loại quyết định và biểu mẫu trong phân hệ chế độ dài hạn, bao gồm: Quyết định hưởng lương hưu, quyết định hưởng chế độ tử tuất, quyết định hưởng trợ cấp thương tật, biểu mẫu xác nhận thẩm định hồ sơ, phiếu trình và các văn bản liên quan trong quy trình giải quyết chế độ BHXH dài hạn.</w:t>
      </w:r>
    </w:p>
    <w:p>
      <w:pPr>
        <w:spacing w:before="120" w:after="120"/>
        <w:ind w:firstLine="567"/>
        <w:jc w:val="both"/>
      </w:pPr>
      <w:r>
        <w:rPr>
          <w:i/>
          <w:color w:val="000000"/>
          <w:sz w:val="28"/>
        </w:rPr>
        <w:t>Quy trình thực hiện cụ thể như sau:</w:t>
      </w:r>
    </w:p>
    <w:p>
      <w:r>
        <w:rPr>
          <w:b w:val="0"/>
          <w:i w:val="0"/>
          <w:sz w:val="24"/>
          <w:highlight w:val="yellow"/>
        </w:rPr>
        <w:t>(Quy trình được thiết kế theo nguyên tắc 04 mắt - ít nhất 2 người kiểm tra độc lập trước khi phê duyệt cuối cùng, đảm bảo kiểm soát chất lượng và trách nhiệm rõ ràng tại từng bước)</w:t>
      </w:r>
    </w:p>
    <w:p>
      <w:pPr>
        <w:spacing w:before="120" w:after="120"/>
        <w:ind w:firstLine="567"/>
        <w:jc w:val="both"/>
      </w:pPr>
      <w:r>
        <w:rPr>
          <w:color w:val="000000"/>
          <w:sz w:val="28"/>
        </w:rPr>
        <w:t xml:space="preserve">a) </w:t>
      </w:r>
      <w:r>
        <w:rPr>
          <w:color w:val="000000"/>
          <w:sz w:val="28"/>
        </w:rPr>
        <w:t>Cán bộ nghiệp vụ tiếp nhận, thẩm định hồ sơ, lập biểu mẫu, dự thảo quyết định giải quyết chế độ BHXH trên phần mềm ASMS và thực hiện ký số xác nhận đối với nội dung đã lập.</w:t>
      </w:r>
    </w:p>
    <w:p>
      <w:pPr>
        <w:spacing w:before="120" w:after="120"/>
        <w:ind w:firstLine="567"/>
        <w:jc w:val="both"/>
      </w:pPr>
      <w:r>
        <w:rPr>
          <w:color w:val="000000"/>
          <w:sz w:val="28"/>
        </w:rPr>
        <w:t xml:space="preserve">b) </w:t>
      </w:r>
      <w:r>
        <w:rPr>
          <w:color w:val="000000"/>
          <w:sz w:val="28"/>
        </w:rPr>
        <w:t>Hồ sơ điện tử được luân chuyển trên hệ thống đến lãnh đạo bộ phận, lãnh đạo phòng để kiểm tra, rà soát và thực hiện ký số theo thẩm quyền.</w:t>
      </w:r>
    </w:p>
    <w:p>
      <w:pPr>
        <w:spacing w:before="120" w:after="120"/>
        <w:ind w:firstLine="567"/>
        <w:jc w:val="both"/>
      </w:pPr>
      <w:r>
        <w:rPr>
          <w:color w:val="000000"/>
          <w:sz w:val="28"/>
        </w:rPr>
        <w:t xml:space="preserve">c) </w:t>
      </w:r>
      <w:r>
        <w:rPr>
          <w:color w:val="000000"/>
          <w:sz w:val="28"/>
        </w:rPr>
        <w:t>Sau khi hoàn thành các bước kiểm tra, hồ sơ được trình Giám đốc (hoặc người được ủy quyền) phê duyệt và ký số trên hệ thống.</w:t>
      </w:r>
    </w:p>
    <w:p>
      <w:pPr>
        <w:spacing w:before="120" w:after="120"/>
        <w:ind w:firstLine="567"/>
        <w:jc w:val="both"/>
      </w:pPr>
      <w:r>
        <w:rPr>
          <w:color w:val="000000"/>
          <w:sz w:val="28"/>
        </w:rPr>
        <w:t xml:space="preserve">d) </w:t>
      </w:r>
      <w:r>
        <w:rPr>
          <w:color w:val="000000"/>
          <w:sz w:val="28"/>
        </w:rPr>
        <w:t>Sau khi quyết định được phê duyệt, hệ thống tự động cập nhật trạng thái hồ sơ, hình thành bản điện tử có giá trị pháp lý theo quy định.</w:t>
      </w:r>
    </w:p>
    <w:p>
      <w:pPr>
        <w:spacing w:before="120" w:after="120"/>
        <w:ind w:firstLine="567"/>
        <w:jc w:val="both"/>
      </w:pPr>
      <w:r>
        <w:rPr>
          <w:color w:val="000000"/>
          <w:sz w:val="28"/>
        </w:rPr>
        <w:t xml:space="preserve">e) </w:t>
      </w:r>
      <w:r>
        <w:rPr>
          <w:color w:val="000000"/>
          <w:sz w:val="28"/>
        </w:rPr>
        <w:t>Hồ sơ, quyết định đã được ký số được chuyển điện tử đến bộ phận văn thư để thực hiện đăng ký số, phát hành, lưu trữ hồ sơ điện tử và thực hiện các nghiệp vụ liên quan theo quy định.</w:t>
      </w:r>
    </w:p>
    <w:p>
      <w:r>
        <w:rPr>
          <w:b w:val="0"/>
          <w:i w:val="0"/>
          <w:sz w:val="24"/>
          <w:highlight w:val="yellow"/>
        </w:rPr>
      </w:r>
    </w:p>
    <w:p>
      <w:r>
        <w:rPr>
          <w:b/>
          <w:i w:val="0"/>
          <w:sz w:val="24"/>
          <w:highlight w:val="yellow"/>
        </w:rPr>
        <w:t>Sơ đồ tóm tắt quy trình ký số toàn trình:</w:t>
      </w:r>
    </w:p>
    <w:p>
      <w:r>
        <w:rPr>
          <w:b w:val="0"/>
          <w:i w:val="0"/>
          <w:sz w:val="24"/>
          <w:highlight w:val="yellow"/>
        </w:rPr>
        <w:t xml:space="preserve">  [Cán bộ thụ lý] → Nhập liệu ASMS + Ký số xác nhận (Token/Soft cert)</w:t>
        <w:br/>
        <w:t xml:space="preserve">       ↓</w:t>
        <w:br/>
        <w:t xml:space="preserve">  [Lãnh đạo bộ phận] → Kiểm tra + Ký số phê duyệt cấp 1</w:t>
        <w:br/>
        <w:t xml:space="preserve">       ↓</w:t>
        <w:br/>
        <w:t xml:space="preserve">  [Lãnh đạo phòng] → Rà soát + Ký số phê duyệt cấp 2</w:t>
        <w:br/>
        <w:t xml:space="preserve">       ↓</w:t>
        <w:br/>
        <w:t xml:space="preserve">  [Giám đốc/Người ủy quyền] → Phê duyệt + Ký số ban hành</w:t>
        <w:br/>
        <w:t xml:space="preserve">       ↓</w:t>
        <w:br/>
        <w:t xml:space="preserve">  [Hệ thống ASMS] → Cập nhật trạng thái tự động + Lưu trữ điện tử</w:t>
        <w:br/>
        <w:t xml:space="preserve">       ↓</w:t>
        <w:br/>
        <w:t xml:space="preserve">  [Văn thư] → Đăng ký số, phát hành, lưu trữ hồ sơ điện tử</w:t>
      </w:r>
    </w:p>
    <w:p>
      <w:pPr>
        <w:spacing w:before="120" w:after="120"/>
        <w:ind w:firstLine="567"/>
        <w:jc w:val="both"/>
      </w:pPr>
      <w:r>
        <w:rPr>
          <w:color w:val="000000"/>
          <w:sz w:val="28"/>
        </w:rPr>
        <w:t>Các đơn vị, cá nhân có liên quan tra cứu, khai thác, sử dụng hồ sơ điện tử trên hệ thống; hạn chế tối đa việc in ấn, luân chuyển hồ sơ giấy, trừ các trường hợp pháp luật hoặc quy định của Bộ Quốc phòng yêu cầu phải lưu trữ bản giấy.</w:t>
      </w:r>
    </w:p>
    <w:p>
      <w:r>
        <w:rPr>
          <w:b/>
          <w:color w:val="C00000"/>
        </w:rPr>
        <w:t>4.2. Đề xuất kinh phí thực hiện</w:t>
      </w:r>
    </w:p>
    <w:p>
      <w:r>
        <w:rPr>
          <w:color w:val="C00000"/>
        </w:rPr>
        <w:t>Trên cơ sở khảo sát sơ bộ và tham khảo chi phí triển khai các giải pháp tương tự, kinh phí thực hiện dự kiến khoảng 480.000.000 đồng (Bốn trăm tám mươi triệu đồng), bao gồm: chi phí bản quyền phần mềm tích hợp ký số, chi phí cấp chứng thư số cho cán bộ có thẩm quyền, chi phí triển khai, cấu hình, đào tạo và hỗ trợ vận hành trong năm đầu tiên.</w:t>
      </w:r>
    </w:p>
    <w:p>
      <w:r>
        <w:rPr>
          <w:b w:val="0"/>
          <w:i w:val="0"/>
          <w:sz w:val="24"/>
          <w:highlight w:val="yellow"/>
        </w:rPr>
      </w:r>
    </w:p>
    <w:p>
      <w:r>
        <w:rPr>
          <w:b/>
          <w:i w:val="0"/>
          <w:sz w:val="24"/>
          <w:highlight w:val="yellow"/>
        </w:rPr>
        <w:t>4.3. Hiệu quả mang lại khi triển khai giải pháp</w:t>
      </w:r>
    </w:p>
    <w:p>
      <w:r>
        <w:rPr>
          <w:b/>
          <w:i w:val="0"/>
          <w:sz w:val="24"/>
          <w:highlight w:val="yellow"/>
        </w:rPr>
        <w:t>a) Tiết kiệm thời gian xử lý hồ sơ:</w:t>
      </w:r>
    </w:p>
    <w:p>
      <w:r>
        <w:rPr>
          <w:b w:val="0"/>
          <w:i w:val="0"/>
          <w:sz w:val="24"/>
          <w:highlight w:val="yellow"/>
        </w:rPr>
        <w:t>Quy trình ký số điện tử toàn trình giúp rút ngắn thời gian luân chuyển hồ sơ từ 02–03 ngày làm việc (với hồ sơ giấy qua nhiều bước trình ký thủ công) xuống còn vài giờ, do hồ sơ được chuyển tức thì trên hệ thống và các cấp lãnh đạo có thể ký duyệt từ xa mà không cần chờ nhận hồ sơ giấy trực tiếp. Ước tính tiết kiệm trung bình 1–2 ngày/hồ sơ, tương đương giảm 30–50% thời gian xử lý tổng thể so với hiện tại.</w:t>
      </w:r>
    </w:p>
    <w:p>
      <w:r>
        <w:rPr>
          <w:b/>
          <w:i w:val="0"/>
          <w:sz w:val="24"/>
          <w:highlight w:val="yellow"/>
        </w:rPr>
        <w:t>b) Giảm chi phí in ấn, văn phòng phẩm và lưu trữ:</w:t>
      </w:r>
    </w:p>
    <w:p>
      <w:r>
        <w:rPr>
          <w:b w:val="0"/>
          <w:i w:val="0"/>
          <w:sz w:val="24"/>
          <w:highlight w:val="yellow"/>
        </w:rPr>
        <w:t>Việc hạn chế in ấn hồ sơ giấy giúp tiết kiệm chi phí mực in, giấy, tủ/kho lưu trữ. Đặc biệt, đối với các loại hồ sơ dài hạn thường có nhiều trang và nhiều bản sao, việc chuyển sang lưu trữ điện tử giúp giảm đáng kể không gian vật lý và công sức quản lý hồ sơ.</w:t>
      </w:r>
    </w:p>
    <w:p>
      <w:r>
        <w:rPr>
          <w:b/>
          <w:i w:val="0"/>
          <w:sz w:val="24"/>
          <w:highlight w:val="yellow"/>
        </w:rPr>
        <w:t>c) Nâng cao tính pháp lý, xác thực và toàn vẹn dữ liệu:</w:t>
      </w:r>
    </w:p>
    <w:p>
      <w:r>
        <w:rPr>
          <w:b w:val="0"/>
          <w:i w:val="0"/>
          <w:sz w:val="24"/>
          <w:highlight w:val="yellow"/>
        </w:rPr>
        <w:t>Chữ ký số được pháp luật công nhận có giá trị tương đương chữ ký tay (theo Luật Giao dịch điện tử 2023). Mỗi văn bản ký số được gắn dấu thời gian (timestamp) và không thể thay đổi nội dung sau khi ký, đảm bảo tính toàn vẹn dữ liệu và khả năng truy vết đầy đủ quá trình xử lý hồ sơ khi cần kiểm tra, giám sát hoặc thanh tra.</w:t>
      </w:r>
    </w:p>
    <w:p>
      <w:r>
        <w:rPr>
          <w:b/>
          <w:i w:val="0"/>
          <w:sz w:val="24"/>
          <w:highlight w:val="yellow"/>
        </w:rPr>
        <w:t>d) Tăng cường kiểm soát, giảm thiểu sai sót:</w:t>
      </w:r>
    </w:p>
    <w:p>
      <w:r>
        <w:rPr>
          <w:b w:val="0"/>
          <w:i w:val="0"/>
          <w:sz w:val="24"/>
          <w:highlight w:val="yellow"/>
        </w:rPr>
        <w:t>Hệ thống tự động kiểm tra tính đầy đủ của hồ sơ và luồng phê duyệt trước khi cho phép ký số, hạn chế tình trạng bỏ sót bước hoặc ký nhầm văn bản. Trạng thái hồ sơ được cập nhật tự động sau mỗi bước ký, không cần cán bộ cập nhật thủ công, loại bỏ nguy cơ sai lệch giữa hồ sơ giấy và dữ liệu trên phần mềm.</w:t>
      </w:r>
    </w:p>
    <w:p>
      <w:r>
        <w:rPr>
          <w:b/>
          <w:i w:val="0"/>
          <w:sz w:val="24"/>
          <w:highlight w:val="yellow"/>
        </w:rPr>
        <w:t>e) Tạo nền tảng chuyển đổi số bền vững:</w:t>
      </w:r>
    </w:p>
    <w:p>
      <w:r>
        <w:rPr>
          <w:b w:val="0"/>
          <w:i w:val="0"/>
          <w:sz w:val="24"/>
          <w:highlight w:val="yellow"/>
        </w:rPr>
        <w:t>Sau khi triển khai thành công, giải pháp tạo cơ sở để kết nối, chia sẻ dữ liệu điện tử với các đơn vị liên quan (BHXH Việt Nam, cơ quan tài chính, đơn vị quản lý người lao động...) và là nền tảng để mở rộng chuyển đổi số sang các nghiệp vụ khác của Cục trong thời gian tới, phù hợp với lộ trình Chính phủ số và chuyển đổi số trong BQP.</w:t>
      </w:r>
    </w:p>
    <w:p>
      <w:r>
        <w:rPr>
          <w:b/>
          <w:i w:val="0"/>
          <w:sz w:val="24"/>
          <w:highlight w:val="yellow"/>
        </w:rPr>
        <w:t>f) Phù hợp với xu hướng và yêu cầu quản lý hiện đại:</w:t>
      </w:r>
    </w:p>
    <w:p>
      <w:r>
        <w:rPr>
          <w:b w:val="0"/>
          <w:i w:val="0"/>
          <w:sz w:val="24"/>
          <w:highlight w:val="yellow"/>
        </w:rPr>
        <w:t>Việc ứng dụng ký số điện tử toàn trình thể hiện quyết tâm chuyển đổi số của Cục, nâng cao hình ảnh và năng lực quản lý, tạo điều kiện để lãnh đạo theo dõi, giám sát tiến độ giải quyết hồ sơ theo thời gian thực và ra quyết định phê duyệt linh hoạt, kịp thời hơn.</w:t>
      </w:r>
    </w:p>
    <w:p>
      <w:r>
        <w:rPr>
          <w:b w:val="0"/>
          <w:i w:val="0"/>
          <w:sz w:val="24"/>
          <w:highlight w:val="yellow"/>
        </w:rPr>
      </w:r>
    </w:p>
    <w:p>
      <w:r>
        <w:rPr>
          <w:b/>
          <w:color w:val="C00000"/>
        </w:rPr>
        <w:t>5. Kiến nghị</w:t>
      </w:r>
    </w:p>
    <w:p>
      <w:r>
        <w:t>Để bảo đảm việc triển khai giải pháp ký số điện tử toàn trình đối với hồ sơ giải quyết chế độ BHXH đạt hiệu quả, Phòng Chế độ BHXH kính đề nghị Thủ trưởng Cục xem xét:</w:t>
      </w:r>
    </w:p>
    <w:p>
      <w:pPr>
        <w:spacing w:before="120" w:after="120"/>
        <w:ind w:firstLine="567"/>
        <w:jc w:val="both"/>
      </w:pPr>
      <w:r>
        <w:rPr>
          <w:color w:val="000000"/>
          <w:sz w:val="28"/>
        </w:rPr>
        <w:t xml:space="preserve">- </w:t>
      </w:r>
      <w:r>
        <w:rPr>
          <w:color w:val="000000"/>
          <w:sz w:val="28"/>
        </w:rPr>
        <w:t>Chấp thuận chủ trương triển khai giải pháp ký số điện tử toàn trình trên Phân hệ Quản lý giải quyết chi trả các chế độ BHXH thuộc phần mềm ASMS đối với các quyết định, hồ sơ và biểu mẫu giải quyết chế độ BHXH.</w:t>
      </w:r>
    </w:p>
    <w:p>
      <w:pPr>
        <w:spacing w:before="120" w:after="120"/>
        <w:ind w:firstLine="567"/>
        <w:jc w:val="both"/>
      </w:pPr>
      <w:r>
        <w:rPr>
          <w:color w:val="000000"/>
          <w:sz w:val="28"/>
        </w:rPr>
        <w:t xml:space="preserve">- </w:t>
      </w:r>
      <w:r>
        <w:rPr>
          <w:color w:val="000000"/>
          <w:sz w:val="28"/>
        </w:rPr>
        <w:t xml:space="preserve">Giao Phòng Chế độ BHXH chủ trì, phối hợp với </w:t>
      </w:r>
      <w:r>
        <w:rPr>
          <w:color w:val="000000"/>
          <w:sz w:val="28"/>
        </w:rPr>
        <w:t xml:space="preserve">các phòng </w:t>
      </w:r>
      <w:r>
        <w:rPr>
          <w:color w:val="000000"/>
          <w:sz w:val="28"/>
        </w:rPr>
        <w:t>liên quan rà soát yêu cầu nghiệp vụ, xây dựng phương án triển khai, bảo đảm phù hợp với quy trình công tác và các quy định hiện hành.</w:t>
      </w:r>
    </w:p>
    <w:p>
      <w:pPr>
        <w:spacing w:before="120" w:after="120"/>
        <w:ind w:firstLine="567"/>
        <w:jc w:val="both"/>
      </w:pPr>
      <w:r>
        <w:rPr>
          <w:color w:val="000000"/>
          <w:sz w:val="28"/>
        </w:rPr>
        <w:t xml:space="preserve">- </w:t>
      </w:r>
      <w:r>
        <w:rPr>
          <w:color w:val="000000"/>
          <w:sz w:val="28"/>
        </w:rPr>
        <w:t xml:space="preserve">Giao </w:t>
      </w:r>
      <w:r>
        <w:rPr>
          <w:color w:val="000000"/>
          <w:sz w:val="28"/>
        </w:rPr>
        <w:t>Phòng C</w:t>
      </w:r>
      <w:r>
        <w:rPr>
          <w:color w:val="000000"/>
          <w:sz w:val="28"/>
        </w:rPr>
        <w:t xml:space="preserve">ông nghệ thông tin </w:t>
      </w:r>
      <w:r>
        <w:rPr>
          <w:color w:val="000000"/>
          <w:sz w:val="28"/>
        </w:rPr>
        <w:t xml:space="preserve">và Quản lý hồ sơ </w:t>
      </w:r>
      <w:r>
        <w:rPr>
          <w:color w:val="000000"/>
          <w:sz w:val="28"/>
        </w:rPr>
        <w:t xml:space="preserve">phối hợp đánh giá giải pháp kỹ thuật, bảo đảm khả năng tích hợp với </w:t>
      </w:r>
      <w:r>
        <w:rPr>
          <w:color w:val="000000"/>
          <w:sz w:val="28"/>
        </w:rPr>
        <w:t>phần mềm quản lý BHXH tập trnug</w:t>
      </w:r>
      <w:r>
        <w:rPr>
          <w:color w:val="000000"/>
          <w:sz w:val="28"/>
        </w:rPr>
        <w:t>, đáp ứng yêu cầu về an toàn thông tin, bảo mật dữ liệu và vận hành ổn định.</w:t>
      </w:r>
    </w:p>
    <w:p>
      <w:pPr>
        <w:spacing w:before="120" w:after="120"/>
        <w:ind w:firstLine="567"/>
        <w:jc w:val="both"/>
      </w:pPr>
      <w:r>
        <w:rPr>
          <w:color w:val="000000"/>
          <w:sz w:val="28"/>
        </w:rPr>
        <w:t xml:space="preserve">- </w:t>
      </w:r>
      <w:r>
        <w:rPr>
          <w:color w:val="000000"/>
          <w:sz w:val="28"/>
        </w:rPr>
        <w:t xml:space="preserve">Cho phép bố trí kinh phí thực hiện từ nguồn kinh phí được giao hoặc các nguồn kinh phí hợp pháp khác theo quy định; đồng thời giao các </w:t>
      </w:r>
      <w:r>
        <w:rPr>
          <w:color w:val="000000"/>
          <w:sz w:val="28"/>
        </w:rPr>
        <w:t>phòng nghiệp vụ</w:t>
      </w:r>
      <w:r>
        <w:rPr>
          <w:color w:val="000000"/>
          <w:sz w:val="28"/>
        </w:rPr>
        <w:t xml:space="preserve"> lập, thẩm định và phê duyệt dự toán chi tiết theo đúng quy định hiện hành.</w:t>
      </w:r>
    </w:p>
    <w:p>
      <w:pPr>
        <w:spacing w:before="120" w:after="120"/>
        <w:ind w:firstLine="567"/>
        <w:jc w:val="both"/>
      </w:pPr>
      <w:r>
        <w:rPr>
          <w:color w:val="000000"/>
          <w:sz w:val="28"/>
        </w:rPr>
        <w:t xml:space="preserve">- </w:t>
      </w:r>
      <w:r>
        <w:rPr>
          <w:color w:val="000000"/>
          <w:sz w:val="28"/>
        </w:rPr>
        <w:t>Sau khi hoàn thành việc triển khai, cho phép áp dụng chính thức quy trình ký số điện tử toàn trình trong giải quyết các chế độ BHXH nhằm thay thế việc trình ký, luân chuyển hồ sơ giấy đối với các nội dung đủ điều kiện thực hiện trên môi trường điện tử.</w:t>
      </w:r>
    </w:p>
    <w:p>
      <w:pPr>
        <w:spacing w:before="120" w:after="120"/>
        <w:ind w:firstLine="567"/>
        <w:jc w:val="both"/>
      </w:pPr>
      <w:r>
        <w:rPr>
          <w:color w:val="000000"/>
          <w:sz w:val="28"/>
        </w:rPr>
        <w:t>Kính trình Thủ trưởng Cục xem xét, quyết định</w:t>
      </w:r>
      <w:r>
        <w:rPr>
          <w:color w:val="000000"/>
          <w:sz w:val="28"/>
        </w:rPr>
        <w:t>./.</w:t>
      </w:r>
    </w:p>
    <w:p>
      <w:pPr/>
    </w:p>
    <w:p>
      <w:pPr/>
    </w:p>
    <w:sectPr w:rsidR="00FC693F" w:rsidRPr="0006063C" w:rsidSect="00034616">
      <w:pgSz w:w="12240" w:h="15840"/>
      <w:pgMar w:top="1411" w:right="1699" w:bottom="1411"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