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jc w:val="center"/>
      </w:pPr>
      <w:r>
        <w:rPr>
          <w:b/>
          <w:sz w:val="28"/>
        </w:rPr>
        <w:t>BÁO CÁO</w:t>
      </w:r>
    </w:p>
    <w:p>
      <w:pPr>
        <w:spacing w:before="60" w:after="60"/>
        <w:jc w:val="center"/>
      </w:pPr>
      <w:r>
        <w:rPr>
          <w:b/>
          <w:sz w:val="26"/>
        </w:rPr>
        <w:t>Tiến độ nâng cấp Hệ thống thông tin giám định bảo hiểm y tế</w:t>
      </w:r>
    </w:p>
    <w:p>
      <w:pPr>
        <w:spacing w:before="60" w:after="60"/>
        <w:jc w:val="center"/>
      </w:pPr>
      <w:r>
        <w:rPr>
          <w:b/>
          <w:sz w:val="26"/>
        </w:rPr>
        <w:t>theo Thông tư số 12/2026/TT-BTC và các văn bản quy phạm pháp luật liên quan</w:t>
      </w:r>
    </w:p>
    <w:p>
      <w:pPr>
        <w:spacing w:before="60" w:after="60"/>
        <w:jc w:val="center"/>
      </w:pPr>
      <w:r>
        <w:rPr>
          <w:b w:val="0"/>
          <w:sz w:val="24"/>
        </w:rPr>
        <w:t>(Tính đến ngày 16 tháng 6 năm 2026)</w:t>
      </w:r>
    </w:p>
    <w:p>
      <w:pPr>
        <w:spacing w:before="0" w:after="40"/>
        <w:jc w:val="both"/>
      </w:pPr>
      <w:r>
        <w:rPr>
          <w:b w:val="0"/>
          <w:sz w:val="24"/>
        </w:rPr>
      </w:r>
    </w:p>
    <w:p>
      <w:pPr>
        <w:spacing w:before="0" w:after="40"/>
        <w:jc w:val="left"/>
      </w:pPr>
      <w:r>
        <w:rPr>
          <w:b/>
          <w:sz w:val="24"/>
        </w:rPr>
        <w:t>Kính gửi: Giám đốc Bảo hiểm xã hội Việt Nam</w:t>
      </w:r>
    </w:p>
    <w:p>
      <w:pPr>
        <w:spacing w:before="0" w:after="40"/>
        <w:jc w:val="both"/>
      </w:pPr>
      <w:r>
        <w:rPr>
          <w:b w:val="0"/>
          <w:sz w:val="24"/>
        </w:rPr>
      </w:r>
    </w:p>
    <w:p>
      <w:pPr>
        <w:spacing w:before="0" w:after="40"/>
        <w:jc w:val="both"/>
      </w:pPr>
      <w:r>
        <w:rPr>
          <w:b w:val="0"/>
          <w:sz w:val="24"/>
        </w:rPr>
        <w:t>Thực hiện ý kiến chỉ đạo của Phó Giám đốc BHXH Việt Nam Nguyễn Đức Hòa tại buổi làm việc ngày 09/6/2026, Trung tâm Kiểm soát thanh toán BHXH, BHYT điện tử báo cáo tiến độ nâng cấp Hệ thống thông tin giám định BHYT như sau:</w:t>
      </w:r>
    </w:p>
    <w:p>
      <w:pPr>
        <w:spacing w:before="80" w:after="40"/>
        <w:jc w:val="both"/>
      </w:pPr>
      <w:r>
        <w:rPr>
          <w:b/>
          <w:sz w:val="24"/>
        </w:rPr>
        <w:t>1. Nâng cấp Hệ thống đáp ứng Thông tư số 12/2026/TT-BTC</w:t>
      </w:r>
    </w:p>
    <w:p>
      <w:pPr>
        <w:spacing w:before="40" w:after="40"/>
        <w:jc w:val="both"/>
      </w:pPr>
      <w:r>
        <w:rPr>
          <w:b/>
          <w:sz w:val="24"/>
        </w:rPr>
        <w:t>1.1. Tiến độ nâng cấp</w:t>
      </w:r>
    </w:p>
    <w:p>
      <w:pPr>
        <w:spacing w:before="0" w:after="40"/>
        <w:jc w:val="both"/>
      </w:pPr>
      <w:r>
        <w:rPr>
          <w:b w:val="0"/>
          <w:sz w:val="24"/>
        </w:rPr>
        <w:t>Tổng số chức năng cần nâng cấp: 43 (Cổng tiếp nhận dữ liệu: 20; Phần mềm Giám định BHYT: 23). Kết quả đến ngày 16/6/2026:</w:t>
      </w:r>
    </w:p>
    <w:p>
      <w:pPr>
        <w:spacing w:before="0" w:after="20"/>
        <w:ind w:left="397"/>
      </w:pPr>
      <w:r>
        <w:rPr>
          <w:sz w:val="24"/>
        </w:rPr>
        <w:t>- Hoàn thành đưa vào vận hành: 18/43 chức năng (41,86%), gồm 11 Cổng tiếp nhận + 07 Giám định (trong đó 08 chức năng ưu tiên đã vận hành từ 01/4/2026);</w:t>
      </w:r>
    </w:p>
    <w:p>
      <w:pPr>
        <w:spacing w:before="0" w:after="20"/>
        <w:ind w:left="397"/>
      </w:pPr>
      <w:r>
        <w:rPr>
          <w:sz w:val="24"/>
        </w:rPr>
        <w:t>- Hoàn thành một phần: 11/43 chức năng (25,58%);</w:t>
      </w:r>
    </w:p>
    <w:p>
      <w:pPr>
        <w:spacing w:before="0" w:after="20"/>
        <w:ind w:left="397"/>
      </w:pPr>
      <w:r>
        <w:rPr>
          <w:sz w:val="24"/>
        </w:rPr>
        <w:t>- Đang triển khai: 08/43 chức năng (18,6%);</w:t>
      </w:r>
    </w:p>
    <w:p>
      <w:pPr>
        <w:spacing w:before="0" w:after="20"/>
        <w:ind w:left="397"/>
      </w:pPr>
      <w:r>
        <w:rPr>
          <w:sz w:val="24"/>
        </w:rPr>
        <w:t>- Chưa triển khai: 06/43 chức năng (13,95%).</w:t>
      </w:r>
    </w:p>
    <w:p>
      <w:pPr>
        <w:spacing w:before="0" w:after="40"/>
        <w:jc w:val="both"/>
      </w:pPr>
      <w:r>
        <w:rPr>
          <w:b w:val="0"/>
          <w:sz w:val="24"/>
        </w:rPr>
        <w:t>(Chi tiết tại Phụ lục I gửi kèm.)</w:t>
      </w:r>
    </w:p>
    <w:p>
      <w:pPr>
        <w:spacing w:before="40" w:after="40"/>
        <w:jc w:val="both"/>
      </w:pPr>
      <w:r>
        <w:rPr>
          <w:b/>
          <w:sz w:val="24"/>
        </w:rPr>
        <w:t>1.2. Khó khăn, vướng mắc</w:t>
      </w:r>
    </w:p>
    <w:p>
      <w:pPr>
        <w:spacing w:before="20" w:after="40"/>
        <w:jc w:val="both"/>
      </w:pPr>
      <w:r>
        <w:rPr>
          <w:b/>
          <w:sz w:val="24"/>
        </w:rPr>
        <w:t>1.2.1. Tiến độ nâng cấp phần mềm</w:t>
      </w:r>
    </w:p>
    <w:p>
      <w:pPr>
        <w:spacing w:before="0" w:after="20"/>
        <w:ind w:left="397"/>
      </w:pPr>
      <w:r>
        <w:rPr>
          <w:sz w:val="24"/>
        </w:rPr>
        <w:t>- Việc nâng cấp các chức năng ảnh hưởng đến nghiệp vụ tiếp nhận danh mục, tiếp nhận/thay thế hồ sơ BHYT cần được ưu tiên bố trí nhân lực phù hợp để đảm bảo tiến độ;</w:t>
      </w:r>
    </w:p>
    <w:p>
      <w:pPr>
        <w:spacing w:before="0" w:after="20"/>
        <w:ind w:left="397"/>
      </w:pPr>
      <w:r>
        <w:rPr>
          <w:sz w:val="24"/>
        </w:rPr>
        <w:t>- Một số tỉnh đề nghị mở cổng hiệu chỉnh dữ liệu do hồ sơ phát sinh sau 01/4/2026 bị từ chối tự động theo chức năng thay thế thông tin hồ sơ;</w:t>
      </w:r>
    </w:p>
    <w:p>
      <w:pPr>
        <w:spacing w:before="0" w:after="20"/>
        <w:ind w:left="397"/>
      </w:pPr>
      <w:r>
        <w:rPr>
          <w:sz w:val="24"/>
        </w:rPr>
        <w:t>- Hệ thống chưa trả được lỗi chi tiết theo từng nhóm chi phí (thuốc, dịch vụ kỹ thuật,...), gây khó khăn cho cơ sở KCB trong rà soát, điều chỉnh hồ sơ.</w:t>
      </w:r>
    </w:p>
    <w:p>
      <w:pPr>
        <w:spacing w:before="40" w:after="40"/>
        <w:jc w:val="both"/>
      </w:pPr>
      <w:r>
        <w:rPr>
          <w:b/>
          <w:sz w:val="24"/>
        </w:rPr>
        <w:t>1.2.2. Vướng mắc liên quan đến biểu mẫu báo cáo (Mẫu 06/BH)</w:t>
      </w:r>
    </w:p>
    <w:p>
      <w:pPr>
        <w:spacing w:before="0" w:after="40"/>
        <w:jc w:val="both"/>
      </w:pPr>
      <w:r>
        <w:rPr>
          <w:b w:val="0"/>
          <w:sz w:val="24"/>
        </w:rPr>
        <w:t>Cách xử lý chi phí KCB trong năm tài chính phải thu hồi cơ sở KCB trên Mẫu 06/BH theo Điều 52 Nghị định 188/2025/NĐ-CP chưa có hướng dẫn thống nhất. Căn cứ ý kiến của Ban CSYT (CV số 366/CSYT) và Ban TCKT (CV số 820/TCKT), đề xuất xử lý như sau:</w:t>
      </w:r>
    </w:p>
    <w:p>
      <w:pPr>
        <w:spacing w:before="0" w:after="20"/>
        <w:ind w:left="397"/>
      </w:pPr>
      <w:r>
        <w:rPr>
          <w:sz w:val="24"/>
        </w:rPr>
        <w:t>- Mã số 19 – Điều chỉnh tăng: Phản ánh chi phí KCB phát sinh các kỳ trước trong năm, chưa quyết toán, kỳ này đã đủ điều kiện thanh toán;</w:t>
      </w:r>
    </w:p>
    <w:p>
      <w:pPr>
        <w:spacing w:before="0" w:after="20"/>
        <w:ind w:left="397"/>
      </w:pPr>
      <w:r>
        <w:rPr>
          <w:sz w:val="24"/>
        </w:rPr>
        <w:t>- Mã số 20 – Điều chỉnh giảm: Phản ánh chi phí đã quyết toán kỳ trước trong năm nhưng qua giám định/thanh tra phát hiện sai, phải thu hồi;</w:t>
      </w:r>
    </w:p>
    <w:p>
      <w:pPr>
        <w:spacing w:before="0" w:after="20"/>
        <w:ind w:left="397"/>
      </w:pPr>
      <w:r>
        <w:rPr>
          <w:sz w:val="24"/>
        </w:rPr>
        <w:t>- Mã số 53 – Kinh phí phải nộp trong kỳ: Phản ánh kinh phí thu hồi cơ sở KCB vào quỹ BHYT theo kết luận cơ quan có thẩm quyền (gồm cả thu hồi năm trước);</w:t>
      </w:r>
    </w:p>
    <w:p>
      <w:pPr>
        <w:spacing w:before="0" w:after="20"/>
        <w:ind w:left="397"/>
      </w:pPr>
      <w:r>
        <w:rPr>
          <w:sz w:val="24"/>
        </w:rPr>
        <w:t>- Mã số 41/42: Bổ sung hướng dẫn tăng/giảm trừ số phải thu hồi trong năm.</w:t>
      </w:r>
    </w:p>
    <w:p>
      <w:pPr>
        <w:spacing w:before="40" w:after="40"/>
        <w:jc w:val="both"/>
      </w:pPr>
      <w:r>
        <w:rPr>
          <w:b/>
          <w:sz w:val="24"/>
        </w:rPr>
        <w:t>1.2.3. Vướng mắc về thực hiện quy định Thông tư 12/2026/TT-BTC</w:t>
      </w:r>
    </w:p>
    <w:p>
      <w:pPr>
        <w:spacing w:before="0" w:after="20"/>
        <w:ind w:left="397"/>
      </w:pPr>
      <w:r>
        <w:rPr>
          <w:sz w:val="24"/>
        </w:rPr>
        <w:t>- Các quy tắc giám định tự động (điểm đ, g, h khoản 1 Điều 10 TT12) từ các chuyên đề (24 chuyên đề) đã phân tích nhưng chưa được phê duyệt để tích hợp vào Hệ thống;</w:t>
      </w:r>
    </w:p>
    <w:p>
      <w:pPr>
        <w:spacing w:before="0" w:after="20"/>
        <w:ind w:left="397"/>
      </w:pPr>
      <w:r>
        <w:rPr>
          <w:sz w:val="24"/>
        </w:rPr>
        <w:t>- Giám định theo phương thức tự động tổng hợp theo tháng/quý/năm sẽ không đáp ứng thời hạn thông báo kết quả 07 ngày làm việc theo khoản 2 Điều 10, cần có giải pháp kỹ thuật phù hợp.</w:t>
      </w:r>
    </w:p>
    <w:p>
      <w:pPr>
        <w:spacing w:before="40" w:after="40"/>
        <w:jc w:val="both"/>
      </w:pPr>
      <w:r>
        <w:rPr>
          <w:b/>
          <w:sz w:val="24"/>
        </w:rPr>
        <w:t>1.2.4. Vướng mắc về hạ tầng công nghệ thông tin</w:t>
      </w:r>
    </w:p>
    <w:p>
      <w:pPr>
        <w:spacing w:before="0" w:after="20"/>
        <w:ind w:left="397"/>
      </w:pPr>
      <w:r>
        <w:rPr>
          <w:sz w:val="24"/>
        </w:rPr>
        <w:t>- Chức năng tra cứu miễn cùng chi trả: Sau tối ưu câu lệnh, thời gian giảm từ 5–7 phút xuống còn ~15 giây/trường hợp;</w:t>
      </w:r>
    </w:p>
    <w:p>
      <w:pPr>
        <w:spacing w:before="0" w:after="20"/>
        <w:ind w:left="397"/>
      </w:pPr>
      <w:r>
        <w:rPr>
          <w:sz w:val="24"/>
        </w:rPr>
        <w:t>- Một số chức năng khác của phần mềm vẫn còn chậm vào giờ cao điểm, ảnh hưởng tổng hợp và phân tích dữ liệu toàn quốc.</w:t>
      </w:r>
    </w:p>
    <w:p>
      <w:pPr>
        <w:spacing w:before="40" w:after="40"/>
        <w:jc w:val="both"/>
      </w:pPr>
      <w:r>
        <w:rPr>
          <w:b/>
          <w:sz w:val="24"/>
        </w:rPr>
        <w:t>1.3. Các nội dung yêu cầu ngoài Thông tư 12/2026/TT-BTC</w:t>
      </w:r>
    </w:p>
    <w:p>
      <w:pPr>
        <w:spacing w:before="0" w:after="40"/>
        <w:jc w:val="both"/>
      </w:pPr>
      <w:r>
        <w:rPr>
          <w:b w:val="0"/>
          <w:sz w:val="24"/>
        </w:rPr>
        <w:t>Theo Luật BHYT số 51/2024/QH15 và Nghị định 188/2025/NĐ-CP, còn nhiều nội dung chưa hoàn thành: 72 quy tắc giám định hồ sơ, 02 quy tắc giám định danh mục và 24 chuyên đề chuyển thành quy tắc tự động chưa được tích hợp. Đây là khối lượng công việc lớn cần bổ sung nguồn lực và ưu tiên xử lý trong thời gian tới.</w:t>
      </w:r>
    </w:p>
    <w:p>
      <w:pPr>
        <w:spacing w:before="120" w:after="40"/>
        <w:jc w:val="both"/>
      </w:pPr>
      <w:r>
        <w:rPr>
          <w:b/>
          <w:sz w:val="24"/>
        </w:rPr>
        <w:t>2. Kiến nghị, đề xuất</w:t>
      </w:r>
    </w:p>
    <w:p>
      <w:pPr>
        <w:spacing w:before="40" w:after="40"/>
        <w:jc w:val="both"/>
      </w:pPr>
      <w:r>
        <w:rPr>
          <w:b/>
          <w:sz w:val="24"/>
        </w:rPr>
        <w:t>2.1. Về tiến độ nâng cấp phần mềm</w:t>
      </w:r>
    </w:p>
    <w:p>
      <w:pPr>
        <w:spacing w:before="0" w:after="40"/>
        <w:jc w:val="both"/>
      </w:pPr>
      <w:r>
        <w:rPr>
          <w:b w:val="0"/>
          <w:sz w:val="24"/>
        </w:rPr>
        <w:t>Đề nghị Trung tâm CNTT đôn đốc đơn vị tư vấn khẩn trương bố trí nhân lực phù hợp, đảm bảo hoàn thành 08 chức năng dự kiến trước ngày 27/6/2026 (PMGĐ: 04, CTN: 04) và các chức năng còn lại theo đúng tiến độ đã cam kết, đảm bảo đúng nghiệp vụ và phối hợp chặt chẽ với Trung tâm trong kiểm thử, nghiệm thu.</w:t>
      </w:r>
    </w:p>
    <w:p>
      <w:pPr>
        <w:spacing w:before="40" w:after="40"/>
        <w:jc w:val="both"/>
      </w:pPr>
      <w:r>
        <w:rPr>
          <w:b/>
          <w:sz w:val="24"/>
        </w:rPr>
        <w:t>2.2. Về xử lý Mẫu 06/BH</w:t>
      </w:r>
    </w:p>
    <w:p>
      <w:pPr>
        <w:spacing w:before="0" w:after="40"/>
        <w:jc w:val="both"/>
      </w:pPr>
      <w:r>
        <w:rPr>
          <w:b w:val="0"/>
          <w:sz w:val="24"/>
        </w:rPr>
        <w:t>Đề nghị BHXH Việt Nam ban hành văn bản thống nhất hướng dẫn xử lý chi phí KCB thu hồi trong năm tài chính trên Mẫu 06/BH theo đề xuất tại mục 1.2.2 nêu trên, làm cơ sở để Trung tâm CNTT hoàn thiện chức năng tương ứng trên Hệ thống.</w:t>
      </w:r>
    </w:p>
    <w:p>
      <w:pPr>
        <w:spacing w:before="40" w:after="40"/>
        <w:jc w:val="both"/>
      </w:pPr>
      <w:r>
        <w:rPr>
          <w:b/>
          <w:sz w:val="24"/>
        </w:rPr>
        <w:t>2.3. Về hạ tầng công nghệ thông tin</w:t>
      </w:r>
    </w:p>
    <w:p>
      <w:pPr>
        <w:spacing w:before="0" w:after="40"/>
        <w:jc w:val="both"/>
      </w:pPr>
      <w:r>
        <w:rPr>
          <w:b w:val="0"/>
          <w:sz w:val="24"/>
        </w:rPr>
        <w:t>Đề nghị Trung tâm CNTT phối hợp đơn vị tư vấn xây dựng phương án nâng cấp, bổ sung hạ tầng cho các phần mềm nghiệp vụ thuộc Hệ thống thông tin giám định BHYT, đảm bảo vận hành thông suốt và đáp ứng yêu cầu tổng hợp, phân tích dữ liệu toàn quốc.</w:t>
      </w:r>
    </w:p>
    <w:p>
      <w:pPr>
        <w:spacing w:before="40" w:after="40"/>
        <w:jc w:val="both"/>
      </w:pPr>
      <w:r>
        <w:rPr>
          <w:b/>
          <w:sz w:val="24"/>
        </w:rPr>
        <w:t>2.4. Về thực hiện Chỉ thị 17/CT-TTg</w:t>
      </w:r>
    </w:p>
    <w:p>
      <w:pPr>
        <w:spacing w:before="0" w:after="40"/>
        <w:jc w:val="both"/>
      </w:pPr>
      <w:r>
        <w:rPr>
          <w:b w:val="0"/>
          <w:sz w:val="24"/>
        </w:rPr>
        <w:t>Thực hiện Chỉ thị số 17/CT-TTg ngày 06/5/2026 của Thủ tướng Chính phủ về tổ chức khám sức khỏe định kỳ và khám sàng lọc miễn phí, đề nghị BHXH Việt Nam có văn bản hướng dẫn Trung tâm về tiếp nhận, đồng bộ dữ liệu và kết nối liên thông để triển khai kịp thời theo chỉ đạo.</w:t>
      </w:r>
    </w:p>
    <w:p>
      <w:pPr>
        <w:spacing w:before="0" w:after="40"/>
        <w:jc w:val="both"/>
      </w:pPr>
      <w:r>
        <w:rPr>
          <w:b w:val="0"/>
          <w:sz w:val="24"/>
        </w:rPr>
      </w:r>
    </w:p>
    <w:p>
      <w:pPr>
        <w:spacing w:before="0" w:after="40"/>
        <w:jc w:val="left"/>
      </w:pPr>
      <w:r>
        <w:rPr>
          <w:b w:val="0"/>
          <w:sz w:val="24"/>
        </w:rPr>
        <w:t>Trung tâm trân trọng báo cáo và xin ý kiến chỉ đạo của Giám đốc Bảo hiểm xã hội Việt Nam./.</w:t>
      </w:r>
    </w:p>
    <w:sectPr w:rsidR="00FC693F" w:rsidRPr="0006063C" w:rsidSect="00034616">
      <w:pgSz w:w="12240" w:h="15840"/>
      <w:pgMar w:top="1411" w:right="1699"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