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TỜ TRÌNH</w:t>
      </w:r>
    </w:p>
    <w:p>
      <w:pPr>
        <w:spacing w:before="0" w:after="20"/>
        <w:jc w:val="center"/>
      </w:pPr>
      <w:r>
        <w:rPr>
          <w:b/>
          <w:i w:val="0"/>
          <w:color w:val="C00000"/>
          <w:sz w:val="24"/>
        </w:rPr>
        <w:t>V/v trang bị giải pháp tích hợp ký số điện tử</w:t>
      </w:r>
    </w:p>
    <w:p>
      <w:pPr>
        <w:spacing w:before="0" w:after="40"/>
        <w:jc w:val="center"/>
      </w:pPr>
      <w:r>
        <w:rPr>
          <w:b/>
          <w:i w:val="0"/>
          <w:color w:val="C00000"/>
          <w:sz w:val="24"/>
        </w:rPr>
        <w:t>tờ bìa, tờ rời sổ BHXH trên Phân hệ Quản lý Thu sổ thẻ</w:t>
      </w:r>
    </w:p>
    <w:p>
      <w:pPr>
        <w:spacing w:before="0" w:after="20"/>
        <w:jc w:val="both"/>
      </w:pPr>
      <w:r>
        <w:rPr>
          <w:b/>
          <w:i w:val="0"/>
          <w:sz w:val="24"/>
        </w:rPr>
        <w:t>Kính gửi:</w:t>
      </w:r>
    </w:p>
    <w:p>
      <w:pPr>
        <w:spacing w:before="0" w:after="40"/>
        <w:ind w:left="397" w:hanging="227"/>
        <w:jc w:val="both"/>
      </w:pPr>
      <w:r>
        <w:rPr>
          <w:b w:val="0"/>
          <w:i w:val="0"/>
          <w:sz w:val="24"/>
        </w:rPr>
        <w:t>- Thiếu tướng Đoàn Quang Hòa, Cục Trưởng Cục Chính sách - Xã hội;</w:t>
      </w:r>
    </w:p>
    <w:p>
      <w:pPr>
        <w:spacing w:before="0" w:after="40"/>
        <w:ind w:left="397" w:hanging="227"/>
        <w:jc w:val="both"/>
      </w:pPr>
      <w:r>
        <w:rPr>
          <w:b w:val="0"/>
          <w:i w:val="0"/>
          <w:sz w:val="24"/>
        </w:rPr>
        <w:t>- Thiếu tướng Cao Xuân Thắng, Phó Cục Trưởng Cục Chính sách - Xã hội, Giám đốc Bảo hiểm xã hội Quân đội.</w:t>
      </w:r>
    </w:p>
    <w:p>
      <w:pPr>
        <w:spacing w:before="80" w:after="60"/>
        <w:jc w:val="both"/>
      </w:pPr>
      <w:r>
        <w:rPr>
          <w:b w:val="0"/>
          <w:i w:val="0"/>
          <w:sz w:val="24"/>
          <w:highlight w:val="yellow"/>
        </w:rPr>
        <w:t>Được sự quan tâm chỉ đạo của Thủ trưởng Cục, thời gian qua Phòng Chế độ bảo hiểm xã hội đã triển khai thành công giải pháp ký số điện tử toàn trình đối với Quyết định hưởng chế độ BHXH dài hạn trên Phân hệ Quản lý giải quyết chi trả thuộc phần mềm QLBHXH tập trung. Đây là bước tiến quan trọng trong lộ trình chuyển đổi số của đơn vị, được Thủ trưởng Cục ghi nhận và đánh giá cao.</w:t>
      </w:r>
    </w:p>
    <w:p>
      <w:pPr>
        <w:spacing w:before="0" w:after="80"/>
        <w:jc w:val="both"/>
      </w:pPr>
      <w:r>
        <w:rPr>
          <w:b w:val="0"/>
          <w:i w:val="0"/>
          <w:sz w:val="24"/>
          <w:highlight w:val="yellow"/>
        </w:rPr>
        <w:t>Tiếp nối kết quả đó, Phòng Chế độ BHXH tiếp tục đề xuất triển khai ký số điện tử đối với tờ bìa và tờ rời sổ Bảo hiểm xã hội — là các chứng từ pháp lý quan trọng xác nhận quá trình tham gia và đóng BHXH của người lao động, hiện đang được quản lý trên Phân hệ Quản lý Thu sổ thẻ thuộc phần mềm QLBHXH tập trung. Nội dung cụ thể như sau:</w:t>
      </w:r>
    </w:p>
    <w:p>
      <w:pPr>
        <w:spacing w:before="120" w:after="40"/>
        <w:jc w:val="both"/>
      </w:pPr>
      <w:r>
        <w:rPr>
          <w:b/>
          <w:i w:val="0"/>
          <w:sz w:val="24"/>
          <w:highlight w:val="yellow"/>
        </w:rPr>
        <w:t>1. Hiện trạng quy trình cấp tờ bìa, tờ rời sổ BHXH</w:t>
      </w:r>
    </w:p>
    <w:p>
      <w:pPr>
        <w:spacing w:before="0" w:after="60"/>
        <w:jc w:val="both"/>
      </w:pPr>
      <w:r>
        <w:rPr>
          <w:b w:val="0"/>
          <w:i w:val="0"/>
          <w:sz w:val="24"/>
          <w:highlight w:val="yellow"/>
        </w:rPr>
        <w:t>Hiện nay, toàn bộ quy trình cấp phát tờ bìa và tờ rời sổ BHXH tại Phòng Chế độ BHXH được thực hiện thủ công, có nhiều hạn chế:</w:t>
      </w:r>
    </w:p>
    <w:p>
      <w:pPr>
        <w:spacing w:before="0" w:after="40"/>
        <w:ind w:left="397" w:hanging="227"/>
        <w:jc w:val="both"/>
      </w:pPr>
      <w:r>
        <w:rPr>
          <w:b w:val="0"/>
          <w:i w:val="0"/>
          <w:sz w:val="24"/>
          <w:highlight w:val="yellow"/>
        </w:rPr>
        <w:t>a) Sau khi người lao động có yêu cầu xác nhận quá trình đóng BHXH hoặc cần cấp bổ sung tờ rời, cán bộ nghiệp vụ tra cứu, xác nhận dữ liệu trên phần mềm QLBHXH, in tờ bìa/tờ rời ra giấy, trình lãnh đạo ký tay, đóng dấu thủ công, rồi mới trả cho người lao động.</w:t>
      </w:r>
    </w:p>
    <w:p>
      <w:pPr>
        <w:spacing w:before="0" w:after="40"/>
        <w:ind w:left="397" w:hanging="227"/>
        <w:jc w:val="both"/>
      </w:pPr>
      <w:r>
        <w:rPr>
          <w:b w:val="0"/>
          <w:i w:val="0"/>
          <w:sz w:val="24"/>
          <w:highlight w:val="yellow"/>
        </w:rPr>
        <w:t>b) Quá trình luân chuyển hồ sơ giấy qua nhiều khâu (cán bộ nghiệp vụ, lãnh đạo phòng, văn thư, người nhận) dẫn đến thời gian xử lý kéo dài, dễ thất lạc, khó theo dõi tiến độ.</w:t>
      </w:r>
    </w:p>
    <w:p>
      <w:pPr>
        <w:spacing w:before="0" w:after="40"/>
        <w:ind w:left="397" w:hanging="227"/>
        <w:jc w:val="both"/>
      </w:pPr>
      <w:r>
        <w:rPr>
          <w:b w:val="0"/>
          <w:i w:val="0"/>
          <w:sz w:val="24"/>
          <w:highlight w:val="yellow"/>
        </w:rPr>
        <w:t>c) Việc lưu trữ sổ, tờ bìa, tờ rời bằng hồ sơ giấy vật lý tốn diện tích kho bãi, khó tra cứu. Một số trường hợp người lao động làm mất sổ phải xác nhận lại từ đầu, mất nhiều thời gian.</w:t>
      </w:r>
    </w:p>
    <w:p>
      <w:pPr>
        <w:spacing w:before="0" w:after="40"/>
        <w:ind w:left="397" w:hanging="227"/>
        <w:jc w:val="both"/>
      </w:pPr>
      <w:r>
        <w:rPr>
          <w:b w:val="0"/>
          <w:i w:val="0"/>
          <w:sz w:val="24"/>
          <w:highlight w:val="yellow"/>
        </w:rPr>
        <w:t>d) Quy trình ký duyệt thủ công chưa đồng bộ với dữ liệu trên phần mềm: sau khi ký giấy, dữ liệu trên hệ thống không tự động cập nhật trạng thái đã phát hành, gây khó khăn trong theo dõi và kiểm soát.</w:t>
      </w:r>
    </w:p>
    <w:p>
      <w:pPr>
        <w:spacing w:before="0" w:after="40"/>
        <w:ind w:left="397" w:hanging="227"/>
        <w:jc w:val="both"/>
      </w:pPr>
      <w:r>
        <w:rPr>
          <w:b w:val="0"/>
          <w:i w:val="0"/>
          <w:sz w:val="24"/>
          <w:highlight w:val="yellow"/>
        </w:rPr>
        <w:t>e) Chữ ký tay chưa đáp ứng đầy đủ yêu cầu về giao dịch điện tử theo Luật Giao dịch điện tử 2023, chưa hỗ trợ tra cứu, xác minh tính xác thực của tờ bìa, tờ rời từ xa.</w:t>
      </w:r>
    </w:p>
    <w:p>
      <w:pPr>
        <w:spacing w:before="40" w:after="60"/>
        <w:jc w:val="both"/>
      </w:pPr>
      <w:r>
        <w:rPr>
          <w:b w:val="0"/>
          <w:i w:val="0"/>
          <w:sz w:val="24"/>
          <w:highlight w:val="yellow"/>
        </w:rPr>
        <w:t>Những hạn chế trên đặt ra yêu cầu cấp thiết phải tích hợp ký số điện tử trực tiếp vào Phân hệ Quản lý Thu sổ thẻ thuộc phần mềm QLBHXH tập trung, tạo ra tờ bìa và tờ rời sổ BHXH điện tử có giá trị pháp lý đầy đủ.</w:t>
      </w:r>
    </w:p>
    <w:p>
      <w:pPr>
        <w:spacing w:before="120" w:after="40"/>
        <w:jc w:val="both"/>
      </w:pPr>
      <w:r>
        <w:rPr>
          <w:b/>
          <w:i w:val="0"/>
          <w:sz w:val="24"/>
        </w:rPr>
        <w:t>2. Sự cần thiết triển khai giải pháp</w:t>
      </w:r>
    </w:p>
    <w:p>
      <w:pPr>
        <w:spacing w:before="0" w:after="40"/>
        <w:ind w:left="397" w:hanging="227"/>
        <w:jc w:val="both"/>
      </w:pPr>
      <w:r>
        <w:rPr>
          <w:b w:val="0"/>
          <w:i w:val="0"/>
          <w:sz w:val="24"/>
        </w:rPr>
        <w:t>- Đáp ứng yêu cầu hoàn thiện quy trình cấp phát tờ bìa, tờ rời sổ BHXH trên môi trường điện tử, bảo đảm tính đồng bộ với dữ liệu quản lý thu, sổ thẻ trên phần mềm QLBHXH tập trung.</w:t>
      </w:r>
    </w:p>
    <w:p>
      <w:pPr>
        <w:spacing w:before="0" w:after="40"/>
        <w:ind w:left="397" w:hanging="227"/>
        <w:jc w:val="both"/>
      </w:pPr>
      <w:r>
        <w:rPr>
          <w:b w:val="0"/>
          <w:i w:val="0"/>
          <w:sz w:val="24"/>
        </w:rPr>
        <w:t>- Nâng cao năng lực, hiệu quả xử lý công việc của cán bộ, rút ngắn thời gian phát hành tờ bìa, tờ rời cho người lao động.</w:t>
      </w:r>
    </w:p>
    <w:p>
      <w:pPr>
        <w:spacing w:before="0" w:after="40"/>
        <w:ind w:left="397" w:hanging="227"/>
        <w:jc w:val="both"/>
      </w:pPr>
      <w:r>
        <w:rPr>
          <w:b w:val="0"/>
          <w:i w:val="0"/>
          <w:sz w:val="24"/>
        </w:rPr>
        <w:t>- Tạo cơ sở để quản lý và lưu trữ tờ bìa, tờ rời điện tử có giá trị pháp lý, từng bước giảm việc sử dụng tờ bìa, tờ rời giấy truyền thống.</w:t>
      </w:r>
    </w:p>
    <w:p>
      <w:pPr>
        <w:spacing w:before="0" w:after="40"/>
        <w:ind w:left="397" w:hanging="227"/>
        <w:jc w:val="both"/>
      </w:pPr>
      <w:r>
        <w:rPr>
          <w:b w:val="0"/>
          <w:i w:val="0"/>
          <w:sz w:val="24"/>
        </w:rPr>
        <w:t>- Bảo đảm tính pháp lý, tính xác thực và toàn vẹn của tờ bìa, tờ rời sổ BHXH điện tử theo quy định của pháp luật về giao dịch điện tử và chữ ký số.</w:t>
      </w:r>
    </w:p>
    <w:p>
      <w:pPr>
        <w:spacing w:before="0" w:after="40"/>
        <w:ind w:left="397" w:hanging="227"/>
        <w:jc w:val="both"/>
      </w:pPr>
      <w:r>
        <w:rPr>
          <w:b w:val="0"/>
          <w:i w:val="0"/>
          <w:sz w:val="24"/>
        </w:rPr>
        <w:t>- Hỗ trợ người lao động tra cứu, xác minh tính xác thực của tờ bìa, tờ rời sổ BHXH điện tử bất kỳ lúc nào, từ bất kỳ đâu, giảm rủi ro giả mạo.</w:t>
      </w:r>
    </w:p>
    <w:p>
      <w:pPr>
        <w:spacing w:before="0" w:after="40"/>
        <w:ind w:left="397" w:hanging="227"/>
        <w:jc w:val="both"/>
      </w:pPr>
      <w:r>
        <w:rPr>
          <w:b w:val="0"/>
          <w:i w:val="0"/>
          <w:sz w:val="24"/>
        </w:rPr>
        <w:t>- Tạo nền tảng kết nối dữ liệu tờ bìa, tờ rời điện tử với các hệ thống BHXH khác và phục vụ lộ trình chuyển đổi số của đơn vị.</w:t>
      </w:r>
    </w:p>
    <w:p>
      <w:pPr>
        <w:spacing w:before="120" w:after="40"/>
        <w:jc w:val="both"/>
      </w:pPr>
      <w:r>
        <w:rPr>
          <w:b/>
          <w:i w:val="0"/>
          <w:sz w:val="24"/>
        </w:rPr>
        <w:t>3. Căn cứ đề xuất</w:t>
      </w:r>
    </w:p>
    <w:p>
      <w:pPr>
        <w:spacing w:before="0" w:after="40"/>
        <w:ind w:left="397" w:hanging="227"/>
        <w:jc w:val="both"/>
      </w:pPr>
      <w:r>
        <w:rPr>
          <w:b w:val="0"/>
          <w:i w:val="0"/>
          <w:sz w:val="24"/>
        </w:rPr>
        <w:t>- Kế hoạch số 319-KH/QUTW ngày 20/01/2026 của Quân ủy Trung ương về chuyển đổi số trong các cơ quan Đảng trong Quân đội đến năm 2030;</w:t>
      </w:r>
    </w:p>
    <w:p>
      <w:pPr>
        <w:spacing w:before="0" w:after="40"/>
        <w:ind w:left="397" w:hanging="227"/>
        <w:jc w:val="both"/>
      </w:pPr>
      <w:r>
        <w:rPr>
          <w:b w:val="0"/>
          <w:i w:val="0"/>
          <w:sz w:val="24"/>
        </w:rPr>
        <w:t>- Kế hoạch số 1316-KH-BQP ngày 04/3/2026 của Bộ Quốc phòng về triển khai thực hiện Chỉ thị số 57-CT/TW ngày 31/12/2025 của Ban Bí thư;</w:t>
      </w:r>
    </w:p>
    <w:p>
      <w:pPr>
        <w:spacing w:before="0" w:after="40"/>
        <w:ind w:left="397" w:hanging="227"/>
        <w:jc w:val="both"/>
      </w:pPr>
      <w:r>
        <w:rPr>
          <w:b w:val="0"/>
          <w:i w:val="0"/>
          <w:sz w:val="24"/>
        </w:rPr>
        <w:t>- Kế hoạch số 04-KH/BCĐTW ngày 05/01/2026 của Ban Chỉ đạo Trung ương về phát triển khoa học, công nghệ, đổi mới sáng tạo và chuyển đổi số;</w:t>
      </w:r>
    </w:p>
    <w:p>
      <w:pPr>
        <w:spacing w:before="0" w:after="40"/>
        <w:ind w:left="397" w:hanging="227"/>
        <w:jc w:val="both"/>
      </w:pPr>
      <w:r>
        <w:rPr>
          <w:b w:val="0"/>
          <w:i w:val="0"/>
          <w:sz w:val="24"/>
        </w:rPr>
        <w:t>- Kế hoạch số 1184-KH/ĐU ngày 28/8/2025 của Đảng ủy Cơ quan Tổng Cục Chính trị về triển khai Đề án chuyển đổi số trong TCCT;</w:t>
      </w:r>
    </w:p>
    <w:p>
      <w:pPr>
        <w:spacing w:before="0" w:after="40"/>
        <w:ind w:left="397" w:hanging="227"/>
        <w:jc w:val="both"/>
      </w:pPr>
      <w:r>
        <w:rPr>
          <w:b w:val="0"/>
          <w:i w:val="0"/>
          <w:sz w:val="24"/>
        </w:rPr>
        <w:t>- Kế hoạch số 88-KH/ĐU ngày 04/02/2026 của Đảng ủy Cơ quan TCCT về chuyển đổi số trong các tổ chức Đảng bộ;</w:t>
      </w:r>
    </w:p>
    <w:p>
      <w:pPr>
        <w:spacing w:before="0" w:after="40"/>
        <w:ind w:left="397" w:hanging="227"/>
        <w:jc w:val="both"/>
      </w:pPr>
      <w:r>
        <w:rPr>
          <w:b w:val="0"/>
          <w:i w:val="0"/>
          <w:sz w:val="24"/>
        </w:rPr>
        <w:t>- Kế hoạch số 47-KH/ĐU ngày 25/4/2025 của Đảng ủy Cục Chính sách - Xã hội về triển khai thực hiện Nghị quyết số 3488-NQ/QUTW;</w:t>
      </w:r>
    </w:p>
    <w:p>
      <w:pPr>
        <w:spacing w:before="0" w:after="40"/>
        <w:ind w:left="397" w:hanging="227"/>
        <w:jc w:val="both"/>
      </w:pPr>
      <w:r>
        <w:rPr>
          <w:b w:val="0"/>
          <w:i w:val="0"/>
          <w:sz w:val="24"/>
        </w:rPr>
        <w:t>- Nghị quyết số 138-NQ/ĐU ngày 06/12/2025 của Đảng ủy Cục Chính sách - Xã hội về lãnh đạo thực hiện nhiệm vụ năm 2026;</w:t>
      </w:r>
    </w:p>
    <w:p>
      <w:pPr>
        <w:spacing w:before="0" w:after="40"/>
        <w:ind w:left="397" w:hanging="227"/>
        <w:jc w:val="both"/>
      </w:pPr>
      <w:r>
        <w:rPr>
          <w:b w:val="0"/>
          <w:i w:val="0"/>
          <w:sz w:val="24"/>
        </w:rPr>
        <w:t>- Kế hoạch số 158-KH/ĐU ngày 17/3/2026 của Đảng ủy Cục Chính sách - Xã hội ban hành kế hoạch chuyển đổi số.</w:t>
      </w:r>
    </w:p>
    <w:p>
      <w:pPr>
        <w:spacing w:before="120" w:after="40"/>
        <w:jc w:val="both"/>
      </w:pPr>
      <w:r>
        <w:rPr>
          <w:b/>
          <w:i w:val="0"/>
          <w:sz w:val="24"/>
        </w:rPr>
        <w:t>4. Nội dung đề xuất</w:t>
      </w:r>
    </w:p>
    <w:p>
      <w:pPr>
        <w:spacing w:before="40" w:after="40"/>
        <w:jc w:val="both"/>
      </w:pPr>
      <w:r>
        <w:rPr>
          <w:b/>
          <w:i w:val="0"/>
          <w:sz w:val="24"/>
          <w:highlight w:val="yellow"/>
        </w:rPr>
        <w:t>4.1. Đề xuất triển khai giải pháp tích hợp ký số điện tử tờ bìa, tờ rời sổ BHXH</w:t>
      </w:r>
    </w:p>
    <w:p>
      <w:pPr>
        <w:spacing w:before="0" w:after="60"/>
        <w:jc w:val="both"/>
      </w:pPr>
      <w:r>
        <w:rPr>
          <w:b w:val="0"/>
          <w:i w:val="0"/>
          <w:sz w:val="24"/>
          <w:highlight w:val="yellow"/>
        </w:rPr>
        <w:t>Giải pháp ký số điện tử được tích hợp trực tiếp vào Phân hệ Quản lý Thu sổ thẻ thuộc phần mềm QLBHXH tập trung, cho phép thực hiện toàn bộ quy trình tạo lập, ký duyệt và phát hành tờ bìa, tờ rời sổ BHXH điện tử ngay trên hệ thống mà không cần in ấn, ký tay hay đóng dấu thủ công.</w:t>
      </w:r>
    </w:p>
    <w:p>
      <w:pPr>
        <w:spacing w:before="0" w:after="40"/>
        <w:jc w:val="both"/>
      </w:pPr>
      <w:r>
        <w:rPr>
          <w:b w:val="0"/>
          <w:i w:val="0"/>
          <w:sz w:val="24"/>
          <w:highlight w:val="yellow"/>
        </w:rPr>
        <w:t>Phạm vi áp dụng: Tất cả các loại tờ bìa và tờ rời sổ BHXH được phát hành trong Phân hệ Quản lý Thu sổ thẻ, bao gồm:</w:t>
      </w:r>
    </w:p>
    <w:p>
      <w:pPr>
        <w:spacing w:before="0" w:after="40"/>
        <w:ind w:left="397" w:hanging="227"/>
        <w:jc w:val="both"/>
      </w:pPr>
      <w:r>
        <w:rPr>
          <w:b w:val="0"/>
          <w:i w:val="0"/>
          <w:sz w:val="24"/>
          <w:highlight w:val="yellow"/>
        </w:rPr>
        <w:t>- Tờ bìa sổ BHXH cấp mới, cấp lại, điều chỉnh thông tin;</w:t>
      </w:r>
    </w:p>
    <w:p>
      <w:pPr>
        <w:spacing w:before="0" w:after="40"/>
        <w:ind w:left="397" w:hanging="227"/>
        <w:jc w:val="both"/>
      </w:pPr>
      <w:r>
        <w:rPr>
          <w:b w:val="0"/>
          <w:i w:val="0"/>
          <w:sz w:val="24"/>
          <w:highlight w:val="yellow"/>
        </w:rPr>
        <w:t>- Tờ rời xác nhận quá trình đóng BHXH (cấp khi người lao động thay đổi đơn vị hoặc có yêu cầu xác nhận);</w:t>
      </w:r>
    </w:p>
    <w:p>
      <w:pPr>
        <w:spacing w:before="0" w:after="40"/>
        <w:ind w:left="397" w:hanging="227"/>
        <w:jc w:val="both"/>
      </w:pPr>
      <w:r>
        <w:rPr>
          <w:b w:val="0"/>
          <w:i w:val="0"/>
          <w:sz w:val="24"/>
          <w:highlight w:val="yellow"/>
        </w:rPr>
        <w:t>- Tờ rời bổ sung, điều chỉnh quá trình đóng BHXH.</w:t>
      </w:r>
    </w:p>
    <w:p>
      <w:pPr>
        <w:spacing w:before="60" w:after="40"/>
        <w:jc w:val="both"/>
      </w:pPr>
      <w:r>
        <w:rPr>
          <w:b w:val="0"/>
          <w:i w:val="0"/>
          <w:sz w:val="24"/>
          <w:highlight w:val="yellow"/>
        </w:rPr>
        <w:t>Quy trình thực hiện cụ thể như sau:</w:t>
      </w:r>
    </w:p>
    <w:p>
      <w:pPr>
        <w:spacing w:before="0" w:after="40"/>
        <w:jc w:val="both"/>
      </w:pPr>
      <w:r>
        <w:rPr>
          <w:b w:val="0"/>
          <w:i w:val="0"/>
          <w:sz w:val="24"/>
          <w:highlight w:val="yellow"/>
        </w:rPr>
        <w:t>(Quy trình được thiết kế theo nguyên tắc 04 mắt — ít nhất 02 người kiểm tra độc lập trước khi phê duyệt cuối cùng, bảo đảm an toàn và tính chính xác của thông tin trên tờ bìa, tờ rời.)</w:t>
      </w:r>
    </w:p>
    <w:p>
      <w:pPr>
        <w:spacing w:before="0" w:after="40"/>
        <w:ind w:left="397" w:hanging="227"/>
        <w:jc w:val="both"/>
      </w:pPr>
      <w:r>
        <w:rPr>
          <w:b w:val="0"/>
          <w:i w:val="0"/>
          <w:sz w:val="24"/>
          <w:highlight w:val="yellow"/>
        </w:rPr>
        <w:t>a) Cán bộ nghiệp vụ tra cứu, xác nhận dữ liệu tham gia, đóng BHXH của người lao động trên phần mềm QLBHXH; lập tờ bìa, tờ rời điện tử trên Phân hệ Quản lý Thu sổ thẻ và thực hiện ký số xác nhận của cán bộ lập.</w:t>
      </w:r>
    </w:p>
    <w:p>
      <w:pPr>
        <w:spacing w:before="0" w:after="40"/>
        <w:ind w:left="397" w:hanging="227"/>
        <w:jc w:val="both"/>
      </w:pPr>
      <w:r>
        <w:rPr>
          <w:b w:val="0"/>
          <w:i w:val="0"/>
          <w:sz w:val="24"/>
          <w:highlight w:val="yellow"/>
        </w:rPr>
        <w:t>b) Hồ sơ điện tử được luân chuyển trên hệ thống đến lãnh đạo bộ phận, lãnh đạo phòng để kiểm tra, rà soát tính chính xác của thông tin và thực hiện ký số phê duyệt trung gian.</w:t>
      </w:r>
    </w:p>
    <w:p>
      <w:pPr>
        <w:spacing w:before="0" w:after="40"/>
        <w:ind w:left="397" w:hanging="227"/>
        <w:jc w:val="both"/>
      </w:pPr>
      <w:r>
        <w:rPr>
          <w:b w:val="0"/>
          <w:i w:val="0"/>
          <w:sz w:val="24"/>
          <w:highlight w:val="yellow"/>
        </w:rPr>
        <w:t>c) Sau khi hoàn thành các bước kiểm tra, tờ bìa/tờ rời được trình Giám đốc phê duyệt và ký số trên hệ thống.</w:t>
      </w:r>
    </w:p>
    <w:p>
      <w:pPr>
        <w:spacing w:before="0" w:after="40"/>
        <w:ind w:left="397" w:hanging="227"/>
        <w:jc w:val="both"/>
      </w:pPr>
      <w:r>
        <w:rPr>
          <w:b w:val="0"/>
          <w:i w:val="0"/>
          <w:sz w:val="24"/>
          <w:highlight w:val="yellow"/>
        </w:rPr>
        <w:t>d) Sau khi được ký số đầy đủ, hệ thống tự động cập nhật trạng thái phát hành, hình thành tờ bìa/tờ rời điện tử có giá trị pháp lý, tự động lưu trữ trên hệ thống và gửi thông báo đến người lao động.</w:t>
      </w:r>
    </w:p>
    <w:p>
      <w:pPr>
        <w:spacing w:before="0" w:after="40"/>
        <w:ind w:left="397" w:hanging="227"/>
        <w:jc w:val="both"/>
      </w:pPr>
      <w:r>
        <w:rPr>
          <w:b w:val="0"/>
          <w:i w:val="0"/>
          <w:sz w:val="24"/>
          <w:highlight w:val="yellow"/>
        </w:rPr>
        <w:t>e) Người lao động có thể tra cứu, tải xuống tờ bìa/tờ rời điện tử có chữ ký số để sử dụng trong các giao dịch BHXH, lao động; tổ chức, đơn vị liên quan có thể xác minh tính xác thực trực tuyến.</w:t>
      </w:r>
    </w:p>
    <w:p>
      <w:pPr>
        <w:spacing w:before="80" w:after="40"/>
        <w:jc w:val="both"/>
      </w:pPr>
      <w:r>
        <w:rPr>
          <w:b/>
          <w:i w:val="0"/>
          <w:sz w:val="24"/>
        </w:rPr>
        <w:t>4.2. Đề xuất kinh phí thực hiện</w:t>
      </w:r>
    </w:p>
    <w:p>
      <w:pPr>
        <w:spacing w:before="0" w:after="0"/>
        <w:jc w:val="both"/>
      </w:pPr>
      <w:r>
        <w:rPr>
          <w:b w:val="0"/>
          <w:i w:val="0"/>
          <w:sz w:val="24"/>
        </w:rPr>
        <w:t xml:space="preserve">Trên cơ sở khảo sát sơ bộ và tham khảo chi phí triển khai giải pháp ký số điện tử tương tự đã thực hiện đối với Quyết định hưởng chế độ BHXH dài hạn, kinh phí dự kiến cho việc tích hợp ký số tờ bìa, tờ rời sổ BHXH vào Phân hệ Quản lý Thu sổ thẻ khoảng </w:t>
      </w:r>
      <w:r>
        <w:rPr>
          <w:b/>
          <w:i w:val="0"/>
          <w:sz w:val="24"/>
        </w:rPr>
        <w:t>480.000.000 đồng (Bốn trăm tám mươi triệu đồng)</w:t>
      </w:r>
      <w:r>
        <w:rPr>
          <w:b w:val="0"/>
          <w:i w:val="0"/>
          <w:sz w:val="24"/>
        </w:rPr>
        <w:t>, bao gồm chi phí phát triển, tích hợp, kiểm thử và đào tạo, bảo trì 01 năm đầu sau khi nghiệm thu. Kinh phí cụ thể sẽ được xác định sau khi lựa chọn đơn vị cung cấp giải pháp và ký hợp đồng.</w:t>
      </w:r>
    </w:p>
    <w:p>
      <w:pPr>
        <w:spacing w:before="80" w:after="40"/>
        <w:jc w:val="both"/>
      </w:pPr>
      <w:r>
        <w:rPr>
          <w:b/>
          <w:i w:val="0"/>
          <w:sz w:val="24"/>
          <w:highlight w:val="yellow"/>
        </w:rPr>
        <w:t>4.3. Hiệu quả mang lại khi triển khai giải pháp</w:t>
      </w:r>
    </w:p>
    <w:p>
      <w:pPr>
        <w:spacing w:before="60" w:after="40"/>
        <w:jc w:val="both"/>
      </w:pPr>
      <w:r>
        <w:rPr>
          <w:b/>
          <w:i w:val="0"/>
          <w:sz w:val="24"/>
          <w:highlight w:val="yellow"/>
        </w:rPr>
        <w:t xml:space="preserve">a) Tiết kiệm thời gian phát hành tờ bìa, tờ rời: </w:t>
      </w:r>
      <w:r>
        <w:rPr>
          <w:b w:val="0"/>
          <w:i w:val="0"/>
          <w:sz w:val="24"/>
          <w:highlight w:val="yellow"/>
        </w:rPr>
        <w:t>Thay vì mất 01–02 ngày làm việc để hoàn thiện, ký tay và phát hành tờ bìa/tờ rời giấy, quy trình ký số điện tử rút ngắn xuống còn vài giờ; người lao động có thể nhận tờ bìa/tờ rời điện tử ngay trong ngày mà không cần đến trực tiếp.</w:t>
      </w:r>
    </w:p>
    <w:p>
      <w:pPr>
        <w:spacing w:before="60" w:after="40"/>
        <w:jc w:val="both"/>
      </w:pPr>
      <w:r>
        <w:rPr>
          <w:b/>
          <w:i w:val="0"/>
          <w:sz w:val="24"/>
          <w:highlight w:val="yellow"/>
        </w:rPr>
        <w:t xml:space="preserve">b) Giảm chi phí in ấn, văn phòng phẩm và lưu trữ: </w:t>
      </w:r>
      <w:r>
        <w:rPr>
          <w:b w:val="0"/>
          <w:i w:val="0"/>
          <w:sz w:val="24"/>
          <w:highlight w:val="yellow"/>
        </w:rPr>
        <w:t>Hạn chế in tờ bìa, tờ rời giấy giúp tiết kiệm chi phí mực, giấy, kho lưu trữ. Đặc biệt, đối với các trường hợp cấp lại, điều chỉnh nhiều lần, tiết kiệm đáng kể so với phương thức hiện tại.</w:t>
      </w:r>
    </w:p>
    <w:p>
      <w:pPr>
        <w:spacing w:before="60" w:after="40"/>
        <w:jc w:val="both"/>
      </w:pPr>
      <w:r>
        <w:rPr>
          <w:b/>
          <w:i w:val="0"/>
          <w:sz w:val="24"/>
          <w:highlight w:val="yellow"/>
        </w:rPr>
        <w:t xml:space="preserve">c) Nâng cao tính pháp lý, xác thực và toàn vẹn dữ liệu: </w:t>
      </w:r>
      <w:r>
        <w:rPr>
          <w:b w:val="0"/>
          <w:i w:val="0"/>
          <w:sz w:val="24"/>
          <w:highlight w:val="yellow"/>
        </w:rPr>
        <w:t>Chữ ký số được pháp luật công nhận có giá trị tương đương chữ ký tay (theo Luật Giao dịch điện tử 2023). Tờ bìa, tờ rời điện tử mang chữ ký số có thể xác minh tính xác thực trực tuyến, chống giả mạo hiệu quả.</w:t>
      </w:r>
    </w:p>
    <w:p>
      <w:pPr>
        <w:spacing w:before="60" w:after="40"/>
        <w:jc w:val="both"/>
      </w:pPr>
      <w:r>
        <w:rPr>
          <w:b/>
          <w:i w:val="0"/>
          <w:sz w:val="24"/>
          <w:highlight w:val="yellow"/>
        </w:rPr>
        <w:t xml:space="preserve">d) Tăng cường kiểm soát, giảm thiểu sai sót: </w:t>
      </w:r>
      <w:r>
        <w:rPr>
          <w:b w:val="0"/>
          <w:i w:val="0"/>
          <w:sz w:val="24"/>
          <w:highlight w:val="yellow"/>
        </w:rPr>
        <w:t>Hệ thống tự động kiểm tra tính đầy đủ, nhất quán của thông tin trên tờ bìa/tờ rời với dữ liệu gốc trong phần mềm QLBHXH trước khi cho phép ký số, hạn chế sai sót do nhập liệu thủ công.</w:t>
      </w:r>
    </w:p>
    <w:p>
      <w:pPr>
        <w:spacing w:before="60" w:after="40"/>
        <w:jc w:val="both"/>
      </w:pPr>
      <w:r>
        <w:rPr>
          <w:b/>
          <w:i w:val="0"/>
          <w:sz w:val="24"/>
          <w:highlight w:val="yellow"/>
        </w:rPr>
        <w:t xml:space="preserve">e) Tạo nền tảng chuyển đổi số bền vững: </w:t>
      </w:r>
      <w:r>
        <w:rPr>
          <w:b w:val="0"/>
          <w:i w:val="0"/>
          <w:sz w:val="24"/>
          <w:highlight w:val="yellow"/>
        </w:rPr>
        <w:t>Sau khi triển khai thành công, giải pháp tạo cơ sở kết nối dữ liệu tờ bìa/tờ rời điện tử với BHXH Việt Nam và các cơ quan quản lý lao động, hỗ trợ giải quyết chính sách BHXH trực tuyến toàn trình.</w:t>
      </w:r>
    </w:p>
    <w:p>
      <w:pPr>
        <w:spacing w:before="60" w:after="40"/>
        <w:jc w:val="both"/>
      </w:pPr>
      <w:r>
        <w:rPr>
          <w:b/>
          <w:i w:val="0"/>
          <w:sz w:val="24"/>
          <w:highlight w:val="yellow"/>
        </w:rPr>
        <w:t xml:space="preserve">f) Phù hợp với xu hướng và yêu cầu quản lý hiện đại: </w:t>
      </w:r>
      <w:r>
        <w:rPr>
          <w:b w:val="0"/>
          <w:i w:val="0"/>
          <w:sz w:val="24"/>
          <w:highlight w:val="yellow"/>
        </w:rPr>
        <w:t>Việc ứng dụng ký số điện tử đối với tờ bìa, tờ rời sổ BHXH tiếp tục thể hiện quyết tâm chuyển đổi số của Cục, kế thừa và phát huy kết quả đã đạt được trong triển khai ký số Quyết định hưởng chế độ BHXH dài hạn.</w:t>
      </w:r>
    </w:p>
    <w:p>
      <w:pPr>
        <w:spacing w:before="120" w:after="40"/>
        <w:jc w:val="both"/>
      </w:pPr>
      <w:r>
        <w:rPr>
          <w:b/>
          <w:i w:val="0"/>
          <w:sz w:val="24"/>
        </w:rPr>
        <w:t>5. Kiến nghị</w:t>
      </w:r>
    </w:p>
    <w:p>
      <w:pPr>
        <w:spacing w:before="0" w:after="60"/>
        <w:jc w:val="both"/>
      </w:pPr>
      <w:r>
        <w:rPr>
          <w:b w:val="0"/>
          <w:i w:val="0"/>
          <w:sz w:val="24"/>
        </w:rPr>
        <w:t>Để bảo đảm việc triển khai giải pháp tích hợp ký số điện tử tờ bìa, tờ rời sổ BHXH đạt hiệu quả, Phòng Chế độ BHXH kính trình Thủ trưởng Cục xem xét cho phép:</w:t>
      </w:r>
    </w:p>
    <w:p>
      <w:pPr>
        <w:spacing w:before="0" w:after="40"/>
        <w:ind w:left="397" w:hanging="227"/>
        <w:jc w:val="both"/>
      </w:pPr>
      <w:r>
        <w:rPr>
          <w:b w:val="0"/>
          <w:i w:val="0"/>
          <w:sz w:val="24"/>
        </w:rPr>
        <w:t>- Chấp thuận chủ trương triển khai giải pháp tích hợp ký số điện tử tờ bìa, tờ rời sổ BHXH trên Phân hệ Quản lý Thu sổ thẻ thuộc phần mềm QLBHXH tập trung;</w:t>
      </w:r>
    </w:p>
    <w:p>
      <w:pPr>
        <w:spacing w:before="0" w:after="40"/>
        <w:ind w:left="397" w:hanging="227"/>
        <w:jc w:val="both"/>
      </w:pPr>
      <w:r>
        <w:rPr>
          <w:b w:val="0"/>
          <w:i w:val="0"/>
          <w:sz w:val="24"/>
        </w:rPr>
        <w:t>- Giao Phòng Chế độ BHXH chủ trì, phối hợp với các phòng liên quan rà soát yêu cầu nghiệp vụ đối với tờ bìa, tờ rời điện tử, xây dựng phương án triển khai và lựa chọn đơn vị cung cấp giải pháp kỹ thuật phù hợp;</w:t>
      </w:r>
    </w:p>
    <w:p>
      <w:pPr>
        <w:spacing w:before="0" w:after="40"/>
        <w:ind w:left="397" w:hanging="227"/>
        <w:jc w:val="both"/>
      </w:pPr>
      <w:r>
        <w:rPr>
          <w:b w:val="0"/>
          <w:i w:val="0"/>
          <w:sz w:val="24"/>
        </w:rPr>
        <w:t>- Giao Phòng Công nghệ thông tin và Quản lý hồ sơ phối hợp đánh giá giải pháp kỹ thuật, bảo đảm khả năng tích hợp với Phân hệ Quản lý Thu sổ thẻ và toàn bộ phần mềm QLBHXH tập trung;</w:t>
      </w:r>
    </w:p>
    <w:p>
      <w:pPr>
        <w:spacing w:before="0" w:after="40"/>
        <w:ind w:left="397" w:hanging="227"/>
        <w:jc w:val="both"/>
      </w:pPr>
      <w:r>
        <w:rPr>
          <w:b w:val="0"/>
          <w:i w:val="0"/>
          <w:sz w:val="24"/>
        </w:rPr>
        <w:t>- Cho phép bố trí kinh phí thực hiện từ nguồn kinh phí được giao hoặc các nguồn kinh phí hợp pháp khác theo quy định; đồng thời cho phép triển khai thí điểm để đánh giá hiệu quả trước khi nhân rộng;</w:t>
      </w:r>
    </w:p>
    <w:p>
      <w:pPr>
        <w:spacing w:before="0" w:after="40"/>
        <w:ind w:left="397" w:hanging="227"/>
        <w:jc w:val="both"/>
      </w:pPr>
      <w:r>
        <w:rPr>
          <w:b w:val="0"/>
          <w:i w:val="0"/>
          <w:sz w:val="24"/>
        </w:rPr>
        <w:t>- Sau khi hoàn thành triển khai, cho phép áp dụng chính thức quy trình ký số tờ bìa, tờ rời sổ BHXH điện tử trong toàn bộ hoạt động nghiệp vụ của Phòng Chế độ BHXH.</w:t>
      </w:r>
    </w:p>
    <w:p>
      <w:pPr>
        <w:spacing w:before="0" w:after="120"/>
        <w:jc w:val="both"/>
      </w:pPr>
    </w:p>
    <w:p>
      <w:pPr>
        <w:spacing w:before="80" w:after="60"/>
        <w:jc w:val="left"/>
      </w:pPr>
      <w:r>
        <w:rPr>
          <w:b w:val="0"/>
          <w:i w:val="0"/>
          <w:sz w:val="24"/>
        </w:rPr>
        <w:t>Kính trình Thủ trưởng Cục xem xét, quyết định./.</w:t>
      </w:r>
    </w:p>
    <w:sectPr w:rsidR="00FC693F" w:rsidRPr="0006063C" w:rsidSect="00034616">
      <w:pgSz w:w="11907" w:h="16840"/>
      <w:pgMar w:top="1134" w:right="1699"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