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35"/>
        <w:gridCol w:w="4535"/>
      </w:tblGrid>
      <w:tr>
        <w:tc>
          <w:tcPr>
            <w:tcW w:type="dxa" w:w="4535"/>
            <w:tcBorders>
              <w:top w:val="none"/>
              <w:left w:val="none"/>
              <w:bottom w:val="none"/>
              <w:right w:val="none"/>
            </w:tcBorders>
          </w:tcPr>
          <w:p>
            <w:pPr>
              <w:jc w:val="center"/>
            </w:pPr>
            <w:r>
              <w:rPr>
                <w:rFonts w:ascii="Times New Roman" w:hAnsi="Times New Roman" w:eastAsia="Times New Roman"/>
                <w:b/>
                <w:i w:val="0"/>
                <w:sz w:val="24"/>
              </w:rPr>
              <w:t>BẢO HIỂM XÃ HỘI QUÂN ĐỘI</w:t>
            </w:r>
          </w:p>
          <w:p>
            <w:pPr>
              <w:jc w:val="center"/>
            </w:pPr>
            <w:r>
              <w:rPr>
                <w:rFonts w:ascii="Times New Roman" w:hAnsi="Times New Roman" w:eastAsia="Times New Roman"/>
                <w:b/>
                <w:i w:val="0"/>
                <w:sz w:val="24"/>
              </w:rPr>
              <w:t>PHÒNG CHẾ ĐỘ BHYT</w:t>
            </w:r>
          </w:p>
          <w:p>
            <w:pPr>
              <w:jc w:val="center"/>
            </w:pPr>
            <w:r>
              <w:rPr>
                <w:rFonts w:ascii="Times New Roman" w:hAnsi="Times New Roman" w:eastAsia="Times New Roman"/>
                <w:b w:val="0"/>
                <w:i w:val="0"/>
                <w:sz w:val="24"/>
              </w:rPr>
              <w:t>─────────────</w:t>
            </w:r>
          </w:p>
          <w:p>
            <w:pPr>
              <w:jc w:val="center"/>
            </w:pPr>
            <w:r>
              <w:rPr>
                <w:rFonts w:ascii="Times New Roman" w:hAnsi="Times New Roman" w:eastAsia="Times New Roman"/>
                <w:b w:val="0"/>
                <w:i w:val="0"/>
                <w:sz w:val="24"/>
              </w:rPr>
              <w:t>Số:        -TTr-CDBHYT</w:t>
            </w:r>
          </w:p>
        </w:tc>
        <w:tc>
          <w:tcPr>
            <w:tcW w:type="dxa" w:w="4535"/>
            <w:tcBorders>
              <w:top w:val="none"/>
              <w:left w:val="none"/>
              <w:bottom w:val="none"/>
              <w:right w:val="none"/>
            </w:tcBorders>
          </w:tcPr>
          <w:p>
            <w:pPr>
              <w:jc w:val="center"/>
            </w:pPr>
            <w:r>
              <w:rPr>
                <w:rFonts w:ascii="Times New Roman" w:hAnsi="Times New Roman" w:eastAsia="Times New Roman"/>
                <w:b/>
                <w:i w:val="0"/>
                <w:sz w:val="24"/>
              </w:rPr>
              <w:t>CỘNG HÒA XÃ HỘI CHỦ NGHĨA VIỆT NAM</w:t>
            </w:r>
          </w:p>
          <w:p>
            <w:pPr>
              <w:jc w:val="center"/>
            </w:pPr>
            <w:r>
              <w:rPr>
                <w:rFonts w:ascii="Times New Roman" w:hAnsi="Times New Roman" w:eastAsia="Times New Roman"/>
                <w:b/>
                <w:i w:val="0"/>
                <w:sz w:val="24"/>
              </w:rPr>
              <w:t>Độc lập – Tự do – Hạnh phúc</w:t>
            </w:r>
          </w:p>
          <w:p>
            <w:pPr>
              <w:jc w:val="center"/>
            </w:pPr>
            <w:r>
              <w:rPr>
                <w:rFonts w:ascii="Times New Roman" w:hAnsi="Times New Roman" w:eastAsia="Times New Roman"/>
                <w:b w:val="0"/>
                <w:i w:val="0"/>
                <w:sz w:val="24"/>
              </w:rPr>
              <w:t>─────────────────────</w:t>
            </w:r>
          </w:p>
          <w:p>
            <w:pPr>
              <w:jc w:val="center"/>
            </w:pPr>
            <w:r>
              <w:rPr>
                <w:rFonts w:ascii="Times New Roman" w:hAnsi="Times New Roman" w:eastAsia="Times New Roman"/>
                <w:b w:val="0"/>
                <w:i/>
                <w:sz w:val="24"/>
              </w:rPr>
              <w:t>Hà Nội, ngày      tháng 7 năm 2026</w:t>
            </w:r>
          </w:p>
        </w:tc>
      </w:tr>
    </w:tbl>
    <w:p/>
    <w:p>
      <w:pPr>
        <w:spacing w:before="0" w:after="40"/>
        <w:jc w:val="center"/>
      </w:pPr>
      <w:r>
        <w:rPr>
          <w:rFonts w:ascii="Times New Roman" w:hAnsi="Times New Roman" w:eastAsia="Times New Roman"/>
          <w:b/>
          <w:i w:val="0"/>
          <w:sz w:val="28"/>
        </w:rPr>
        <w:t>TỜ TRÌNH</w:t>
      </w:r>
    </w:p>
    <w:p>
      <w:pPr>
        <w:spacing w:before="0" w:after="40"/>
        <w:jc w:val="center"/>
      </w:pPr>
      <w:r>
        <w:rPr>
          <w:rFonts w:ascii="Times New Roman" w:hAnsi="Times New Roman" w:eastAsia="Times New Roman"/>
          <w:b/>
          <w:i w:val="0"/>
          <w:sz w:val="26"/>
        </w:rPr>
        <w:t>V/v đề nghị chủ trương triển khai giải pháp</w:t>
      </w:r>
    </w:p>
    <w:p>
      <w:pPr>
        <w:spacing w:before="0" w:after="200"/>
        <w:jc w:val="center"/>
      </w:pPr>
      <w:r>
        <w:rPr>
          <w:rFonts w:ascii="Times New Roman" w:hAnsi="Times New Roman" w:eastAsia="Times New Roman"/>
          <w:b/>
          <w:i w:val="0"/>
          <w:sz w:val="26"/>
        </w:rPr>
        <w:t>Quản lý Lưu trữ Hồ sơ Điện tử tại Bảo hiểm xã hội Quân đội</w:t>
      </w:r>
    </w:p>
    <w:p>
      <w:pPr>
        <w:spacing w:before="0" w:after="40"/>
        <w:jc w:val="left"/>
      </w:pPr>
      <w:r>
        <w:rPr>
          <w:rFonts w:ascii="Times New Roman" w:hAnsi="Times New Roman" w:eastAsia="Times New Roman"/>
          <w:b/>
          <w:i w:val="0"/>
          <w:sz w:val="26"/>
        </w:rPr>
        <w:t>Kính gửi:</w:t>
      </w:r>
    </w:p>
    <w:p>
      <w:pPr>
        <w:spacing w:before="0" w:after="40"/>
        <w:jc w:val="left"/>
      </w:pPr>
      <w:r>
        <w:rPr>
          <w:rFonts w:ascii="Times New Roman" w:hAnsi="Times New Roman" w:eastAsia="Times New Roman"/>
          <w:b w:val="0"/>
          <w:i w:val="0"/>
          <w:sz w:val="26"/>
        </w:rPr>
        <w:t>- Thiếu tướng Đoàn Quang Hòa, Cục Trưởng Cục Chính sách - Xã hội;</w:t>
      </w:r>
    </w:p>
    <w:p>
      <w:pPr>
        <w:spacing w:before="0" w:after="200"/>
        <w:jc w:val="left"/>
      </w:pPr>
      <w:r>
        <w:rPr>
          <w:rFonts w:ascii="Times New Roman" w:hAnsi="Times New Roman" w:eastAsia="Times New Roman"/>
          <w:b w:val="0"/>
          <w:i w:val="0"/>
          <w:sz w:val="26"/>
        </w:rPr>
        <w:t>- Thiếu tướng Cao Xuân Thắng, Phó Cục Trưởng Cục Chính sách - Xã hội, Giám đốc Bảo hiểm xã hội Quân đội.</w:t>
      </w:r>
    </w:p>
    <w:p>
      <w:pPr>
        <w:spacing w:after="120" w:before="0"/>
        <w:ind w:firstLine="709"/>
        <w:jc w:val="left"/>
      </w:pPr>
      <w:r>
        <w:rPr>
          <w:rFonts w:ascii="Times New Roman" w:hAnsi="Times New Roman" w:eastAsia="Times New Roman"/>
          <w:b w:val="0"/>
          <w:i w:val="0"/>
          <w:sz w:val="26"/>
        </w:rPr>
        <w:t xml:space="preserve">Bảo hiểm xã hội Quân đội thuộc Cục Chính sách - Xã hội/TCCT hiện đang quản lý, lưu trữ khối lượng lớn hồ sơ, tài liệu hình thành trong quá trình thực hiện chính sách BHXH, BHYT cho các đối tượng trong toàn quân. Qua thời gian, </w:t>
      </w:r>
      <w:r>
        <w:rPr>
          <w:rFonts w:ascii="Times New Roman" w:hAnsi="Times New Roman" w:eastAsia="Times New Roman"/>
          <w:b w:val="0"/>
          <w:i w:val="0"/>
          <w:sz w:val="26"/>
          <w:highlight w:val="yellow"/>
        </w:rPr>
        <w:t>do môi trường, khí hậu và điều kiện bảo quản chưa đáp ứng yêu cầu, phần lớn tài liệu giấy đã bị xuống cấp</w:t>
      </w:r>
      <w:r>
        <w:rPr>
          <w:rFonts w:ascii="Times New Roman" w:hAnsi="Times New Roman" w:eastAsia="Times New Roman"/>
          <w:b w:val="0"/>
          <w:i w:val="0"/>
          <w:sz w:val="26"/>
        </w:rPr>
        <w:t xml:space="preserve">, một bộ phận đáng kể đã hư hỏng hoặc đang trong nguy cơ hư hỏng ở các mức độ khác nhau. Tài liệu chủ yếu được lập bằng phương pháp đánh máy trên các loại giấy đa dạng (giấy pơ-luya, giấy can...), nhiều tài liệu đã bị ố vàng, oxy hóa cao, </w:t>
      </w:r>
      <w:r>
        <w:rPr>
          <w:rFonts w:ascii="Times New Roman" w:hAnsi="Times New Roman" w:eastAsia="Times New Roman"/>
          <w:b w:val="0"/>
          <w:i w:val="0"/>
          <w:sz w:val="26"/>
          <w:highlight w:val="yellow"/>
        </w:rPr>
        <w:t>có nguy cơ bị hủy hoại từng phần và hàng loạt</w:t>
      </w:r>
      <w:r>
        <w:rPr>
          <w:rFonts w:ascii="Times New Roman" w:hAnsi="Times New Roman" w:eastAsia="Times New Roman"/>
          <w:b w:val="0"/>
          <w:i w:val="0"/>
          <w:sz w:val="26"/>
        </w:rPr>
        <w:t>. Bên cạnh đó, toàn bộ hồ sơ hiện vẫn chưa được số hóa; công tác tra cứu, khai thác vẫn thực hiện thủ công, mất nhiều thời gian và tiềm ẩn nguy cơ thất lạc tài liệu.</w:t>
      </w:r>
    </w:p>
    <w:p>
      <w:pPr>
        <w:spacing w:after="200" w:before="0"/>
        <w:ind w:firstLine="709"/>
        <w:jc w:val="left"/>
      </w:pPr>
      <w:r>
        <w:rPr>
          <w:rFonts w:ascii="Times New Roman" w:hAnsi="Times New Roman" w:eastAsia="Times New Roman"/>
          <w:b w:val="0"/>
          <w:i w:val="0"/>
          <w:sz w:val="26"/>
        </w:rPr>
        <w:t xml:space="preserve">Trước thực trạng trên, Phòng Chế độ BHYT kính trình Thủ trưởng Cục xem xét, </w:t>
      </w:r>
      <w:r>
        <w:rPr>
          <w:rFonts w:ascii="Times New Roman" w:hAnsi="Times New Roman" w:eastAsia="Times New Roman"/>
          <w:b/>
          <w:i w:val="0"/>
          <w:sz w:val="26"/>
          <w:highlight w:val="cyan"/>
        </w:rPr>
        <w:t>cho chủ trương triển khai giải pháp Quản lý Lưu trữ Hồ sơ Điện tử</w:t>
      </w:r>
      <w:r>
        <w:rPr>
          <w:rFonts w:ascii="Times New Roman" w:hAnsi="Times New Roman" w:eastAsia="Times New Roman"/>
          <w:b w:val="0"/>
          <w:i w:val="0"/>
          <w:sz w:val="26"/>
        </w:rPr>
        <w:t xml:space="preserve"> tại Bảo hiểm xã hội Quân đội, cụ thể như sau:</w:t>
      </w:r>
    </w:p>
    <w:p>
      <w:pPr>
        <w:spacing w:before="0" w:after="80"/>
        <w:jc w:val="left"/>
      </w:pPr>
      <w:r>
        <w:rPr>
          <w:rFonts w:ascii="Times New Roman" w:hAnsi="Times New Roman" w:eastAsia="Times New Roman"/>
          <w:b/>
          <w:i w:val="0"/>
          <w:color w:val="C00000"/>
          <w:sz w:val="26"/>
        </w:rPr>
        <w:t>1. Thực trạng công tác lưu trữ hồ sơ</w:t>
      </w:r>
    </w:p>
    <w:p>
      <w:pPr>
        <w:spacing w:after="100" w:before="0"/>
        <w:ind w:firstLine="709"/>
        <w:jc w:val="left"/>
      </w:pPr>
      <w:r>
        <w:rPr>
          <w:rFonts w:ascii="Times New Roman" w:hAnsi="Times New Roman" w:eastAsia="Times New Roman"/>
          <w:b/>
          <w:i w:val="0"/>
          <w:sz w:val="26"/>
          <w:highlight w:val="yellow"/>
        </w:rPr>
        <w:t>Về hạ tầng lưu trữ vật lý</w:t>
      </w:r>
      <w:r>
        <w:rPr>
          <w:rFonts w:ascii="Times New Roman" w:hAnsi="Times New Roman" w:eastAsia="Times New Roman"/>
          <w:b w:val="0"/>
          <w:i w:val="0"/>
          <w:sz w:val="26"/>
        </w:rPr>
        <w:t>: BHXH Quân đội đã hình thành hệ thống tổ chức lưu trữ với cán bộ chuyên trách và kho lưu trữ chuyên dụng; đã thực hiện chỉnh lý, sắp xếp tài liệu thành hồ sơ theo trình tự khoa học. Tuy nhiên, diện tích kho lưu trữ không còn đáp ứng yêu cầu trước sự gia tăng liên tục của khối lượng hồ sơ qua các năm.</w:t>
      </w:r>
    </w:p>
    <w:p>
      <w:pPr>
        <w:spacing w:after="100" w:before="0"/>
        <w:ind w:firstLine="709"/>
        <w:jc w:val="left"/>
      </w:pPr>
      <w:r>
        <w:rPr>
          <w:rFonts w:ascii="Times New Roman" w:hAnsi="Times New Roman" w:eastAsia="Times New Roman"/>
          <w:b/>
          <w:i w:val="0"/>
          <w:sz w:val="26"/>
          <w:highlight w:val="yellow"/>
        </w:rPr>
        <w:t>Về chất lượng tài liệu</w:t>
      </w:r>
      <w:r>
        <w:rPr>
          <w:rFonts w:ascii="Times New Roman" w:hAnsi="Times New Roman" w:eastAsia="Times New Roman"/>
          <w:b w:val="0"/>
          <w:i w:val="0"/>
          <w:sz w:val="26"/>
        </w:rPr>
        <w:t>: Tài liệu hình thành qua nhiều thập kỷ với điều kiện bảo quản không đồng đều, đã xuất hiện tình trạng ố vàng, giòn, rách, mờ chữ; một số tài liệu đã và đang hư hỏng ở các mức độ khác nhau, có nguy cơ thất thoát thông tin vĩnh viễn nếu không được xử lý kịp thời.</w:t>
      </w:r>
    </w:p>
    <w:p>
      <w:pPr>
        <w:spacing w:after="100" w:before="0"/>
        <w:ind w:firstLine="709"/>
        <w:jc w:val="left"/>
      </w:pPr>
      <w:r>
        <w:rPr>
          <w:rFonts w:ascii="Times New Roman" w:hAnsi="Times New Roman" w:eastAsia="Times New Roman"/>
          <w:b/>
          <w:i w:val="0"/>
          <w:sz w:val="26"/>
          <w:highlight w:val="yellow"/>
        </w:rPr>
        <w:t>Về công tác tra cứu, khai thác</w:t>
      </w:r>
      <w:r>
        <w:rPr>
          <w:rFonts w:ascii="Times New Roman" w:hAnsi="Times New Roman" w:eastAsia="Times New Roman"/>
          <w:b w:val="0"/>
          <w:i w:val="0"/>
          <w:sz w:val="26"/>
        </w:rPr>
        <w:t>: Toàn bộ hoạt động tìm kiếm, khai thác hồ sơ đang thực hiện thủ công theo hệ thống mục lục giấy; thời gian tra cứu kéo dài, phụ thuộc vào kinh nghiệm cán bộ; nguy cơ sai lệch, thất lạc trong quá trình khai thác còn cao.</w:t>
      </w:r>
    </w:p>
    <w:p>
      <w:pPr>
        <w:spacing w:after="100" w:before="0"/>
        <w:ind w:firstLine="709"/>
        <w:jc w:val="left"/>
      </w:pPr>
      <w:r>
        <w:rPr>
          <w:rFonts w:ascii="Times New Roman" w:hAnsi="Times New Roman" w:eastAsia="Times New Roman"/>
          <w:b/>
          <w:i w:val="0"/>
          <w:sz w:val="26"/>
          <w:highlight w:val="yellow"/>
        </w:rPr>
        <w:t>Về lưu trữ điện tử</w:t>
      </w:r>
      <w:r>
        <w:rPr>
          <w:rFonts w:ascii="Times New Roman" w:hAnsi="Times New Roman" w:eastAsia="Times New Roman"/>
          <w:b w:val="0"/>
          <w:i w:val="0"/>
          <w:sz w:val="26"/>
        </w:rPr>
        <w:t>: Hồ sơ chưa được số hóa và lập index điện tử; chưa có hệ thống quản lý vòng đời tài liệu theo quy định; dữ liệu chưa được sao lưu dự phòng, tiềm ẩn rủi ro mất mát khi có sự cố.</w:t>
      </w:r>
    </w:p>
    <w:p>
      <w:pPr>
        <w:spacing w:after="100" w:before="0"/>
        <w:ind w:firstLine="709"/>
        <w:jc w:val="left"/>
      </w:pPr>
      <w:r>
        <w:rPr>
          <w:rFonts w:ascii="Times New Roman" w:hAnsi="Times New Roman" w:eastAsia="Times New Roman"/>
          <w:b/>
          <w:i w:val="0"/>
          <w:sz w:val="26"/>
          <w:highlight w:val="yellow"/>
        </w:rPr>
        <w:t>Về tuân thủ pháp luật</w:t>
      </w:r>
      <w:r>
        <w:rPr>
          <w:rFonts w:ascii="Times New Roman" w:hAnsi="Times New Roman" w:eastAsia="Times New Roman"/>
          <w:b w:val="0"/>
          <w:i w:val="0"/>
          <w:sz w:val="26"/>
        </w:rPr>
        <w:t>: Luật Lưu trữ số 07/2024/QH15 (hiệu lực từ 01/01/2025) và Nghị định số 97/2024/NĐ-CP yêu cầu cơ quan nhà nước phải tổ chức lưu trữ tài liệu điện tử và xây dựng cơ sở dữ liệu hồ sơ. Hiện trạng lưu trữ của BHXH Quân đội chưa đáp ứng các yêu cầu này.</w:t>
      </w:r>
    </w:p>
    <w:p>
      <w:pPr>
        <w:spacing w:before="80" w:after="80"/>
        <w:jc w:val="left"/>
      </w:pPr>
      <w:r>
        <w:rPr>
          <w:rFonts w:ascii="Times New Roman" w:hAnsi="Times New Roman" w:eastAsia="Times New Roman"/>
          <w:b/>
          <w:i w:val="0"/>
          <w:color w:val="C00000"/>
          <w:sz w:val="26"/>
        </w:rPr>
        <w:t>2. Sự cần thiết triển khai giải pháp lưu trữ hồ sơ điện tử</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Bảo tồn kịp thời tài liệu lịch sử:</w:t>
      </w:r>
      <w:r>
        <w:rPr>
          <w:rFonts w:ascii="Times New Roman" w:hAnsi="Times New Roman" w:eastAsia="Times New Roman"/>
          <w:b w:val="0"/>
          <w:i w:val="0"/>
          <w:sz w:val="26"/>
        </w:rPr>
        <w:t xml:space="preserve"> Số hóa là biện pháp cấp thiết và duy nhất để bảo tồn thông tin từ các tài liệu giấy đang trong nguy cơ hủy hoại, đặc biệt hồ sơ gốc của người tham gia BHXH, BHYT từ giai đoạn đầu hoạt động của cơ quan.</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Tuân thủ quy định pháp luật về lưu trữ:</w:t>
      </w:r>
      <w:r>
        <w:rPr>
          <w:rFonts w:ascii="Times New Roman" w:hAnsi="Times New Roman" w:eastAsia="Times New Roman"/>
          <w:b w:val="0"/>
          <w:i w:val="0"/>
          <w:sz w:val="26"/>
        </w:rPr>
        <w:t xml:space="preserve"> Đáp ứng các yêu cầu bắt buộc tại Luật Lưu trữ 2024, Nghị định 97/2024/NĐ-CP về tổ chức lưu trữ tài liệu điện tử và xây dựng cơ sở dữ liệu hồ sơ trong cơ quan nhà nước.</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Nâng cao hiệu quả quản lý, tra cứu:</w:t>
      </w:r>
      <w:r>
        <w:rPr>
          <w:rFonts w:ascii="Times New Roman" w:hAnsi="Times New Roman" w:eastAsia="Times New Roman"/>
          <w:b w:val="0"/>
          <w:i w:val="0"/>
          <w:sz w:val="26"/>
        </w:rPr>
        <w:t xml:space="preserve"> Hệ thống lưu trữ điện tử cho phép tra cứu tức thời theo nhiều tiêu chí; chuẩn hóa quy trình tiếp nhận, lưu trữ, khai thác và tiêu hủy hồ sơ theo đúng quy định; giảm áp lực nhân sự và không gian lưu trữ vật lý.</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Bảo đảm an toàn và toàn vẹn dữ liệu:</w:t>
      </w:r>
      <w:r>
        <w:rPr>
          <w:rFonts w:ascii="Times New Roman" w:hAnsi="Times New Roman" w:eastAsia="Times New Roman"/>
          <w:b w:val="0"/>
          <w:i w:val="0"/>
          <w:sz w:val="26"/>
        </w:rPr>
        <w:t xml:space="preserve"> Hồ sơ điện tử được sao lưu định kỳ, phân quyền truy cập theo chức danh, ghi nhật ký thao tác đầy đủ; loại bỏ rủi ro thất lạc, hủy hoại do thiên tai, hỏa hoạn hoặc sự cố con người.</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Góp phần thực hiện chuyển đổi số:</w:t>
      </w:r>
      <w:r>
        <w:rPr>
          <w:rFonts w:ascii="Times New Roman" w:hAnsi="Times New Roman" w:eastAsia="Times New Roman"/>
          <w:b w:val="0"/>
          <w:i w:val="0"/>
          <w:sz w:val="26"/>
        </w:rPr>
        <w:t xml:space="preserve"> Phù hợp với lộ trình chuyển đổi số của Cục Chính sách - Xã hội và Quân đội Nhân dân Việt Nam; tạo nền tảng dữ liệu số hóa phục vụ kết nối, chia sẻ thông tin với các hệ thống BHXH, BHYT trong thời gian tới.</w:t>
      </w:r>
    </w:p>
    <w:p>
      <w:pPr>
        <w:spacing w:before="40" w:after="80"/>
        <w:jc w:val="left"/>
      </w:pPr>
      <w:r>
        <w:rPr>
          <w:rFonts w:ascii="Times New Roman" w:hAnsi="Times New Roman" w:eastAsia="Times New Roman"/>
          <w:b/>
          <w:i w:val="0"/>
          <w:color w:val="C00000"/>
          <w:sz w:val="26"/>
        </w:rPr>
        <w:t>3. Căn cứ pháp lý</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Luật Lưu trữ số 07/2024/QH15</w:t>
      </w:r>
      <w:r>
        <w:rPr>
          <w:rFonts w:ascii="Times New Roman" w:hAnsi="Times New Roman" w:eastAsia="Times New Roman"/>
          <w:b w:val="0"/>
          <w:i w:val="0"/>
          <w:sz w:val="26"/>
        </w:rPr>
        <w:t xml:space="preserve"> ngày 21/6/2024 của Quốc hội, có hiệu lực từ ngày 01/01/2025;</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Nghị định số 97/2024/NĐ-CP</w:t>
      </w:r>
      <w:r>
        <w:rPr>
          <w:rFonts w:ascii="Times New Roman" w:hAnsi="Times New Roman" w:eastAsia="Times New Roman"/>
          <w:b w:val="0"/>
          <w:i w:val="0"/>
          <w:sz w:val="26"/>
        </w:rPr>
        <w:t xml:space="preserve"> ngày 28/7/2024 của Chính phủ hướng dẫn thi hành một số điều của Luật Lưu trữ;</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Thông tư số 03/2025/TT-BNV</w:t>
      </w:r>
      <w:r>
        <w:rPr>
          <w:rFonts w:ascii="Times New Roman" w:hAnsi="Times New Roman" w:eastAsia="Times New Roman"/>
          <w:b w:val="0"/>
          <w:i w:val="0"/>
          <w:sz w:val="26"/>
        </w:rPr>
        <w:t xml:space="preserve"> ngày 14/3/2025 của Bộ Nội vụ hướng dẫn quản lý tài liệu điện tử trong hoạt động của các cơ quan, tổ chức;</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Kế hoạch số 319-KH/QUTW</w:t>
      </w:r>
      <w:r>
        <w:rPr>
          <w:rFonts w:ascii="Times New Roman" w:hAnsi="Times New Roman" w:eastAsia="Times New Roman"/>
          <w:b w:val="0"/>
          <w:i w:val="0"/>
          <w:sz w:val="26"/>
        </w:rPr>
        <w:t xml:space="preserve"> ngày 20/01/2026 của Quân ủy Trung ương về chuyển đổi số trong các cơ quan Đảng trong Quân đội năm 2026;</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Kế hoạch số 1316-KH-BQP</w:t>
      </w:r>
      <w:r>
        <w:rPr>
          <w:rFonts w:ascii="Times New Roman" w:hAnsi="Times New Roman" w:eastAsia="Times New Roman"/>
          <w:b w:val="0"/>
          <w:i w:val="0"/>
          <w:sz w:val="26"/>
        </w:rPr>
        <w:t xml:space="preserve"> ngày 04/3/2026 của Bộ Quốc phòng về triển khai Chỉ thị số 57-CT/TW ngày 31/12/2025 của Ban Bí thư;</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Kế hoạch số 158-KH/ĐU</w:t>
      </w:r>
      <w:r>
        <w:rPr>
          <w:rFonts w:ascii="Times New Roman" w:hAnsi="Times New Roman" w:eastAsia="Times New Roman"/>
          <w:b w:val="0"/>
          <w:i w:val="0"/>
          <w:sz w:val="26"/>
        </w:rPr>
        <w:t xml:space="preserve"> ngày 17/3/2026 của Đảng ủy Cục Chính sách - Xã hội về kế hoạch chuyển đổi số năm 2026.</w:t>
      </w:r>
    </w:p>
    <w:p>
      <w:pPr>
        <w:spacing w:before="40" w:after="80"/>
        <w:jc w:val="left"/>
      </w:pPr>
      <w:r>
        <w:rPr>
          <w:rFonts w:ascii="Times New Roman" w:hAnsi="Times New Roman" w:eastAsia="Times New Roman"/>
          <w:b/>
          <w:i w:val="0"/>
          <w:color w:val="C00000"/>
          <w:sz w:val="26"/>
        </w:rPr>
        <w:t>4. Nội dung đề xuất</w:t>
      </w:r>
    </w:p>
    <w:p>
      <w:pPr>
        <w:spacing w:before="0" w:after="80"/>
        <w:jc w:val="left"/>
      </w:pPr>
      <w:r>
        <w:rPr>
          <w:rFonts w:ascii="Times New Roman" w:hAnsi="Times New Roman" w:eastAsia="Times New Roman"/>
          <w:b/>
          <w:i w:val="0"/>
          <w:sz w:val="26"/>
        </w:rPr>
        <w:t>4.1. Mục tiêu</w:t>
      </w:r>
    </w:p>
    <w:p>
      <w:pPr>
        <w:spacing w:before="0" w:after="80"/>
        <w:ind w:firstLine="283"/>
        <w:jc w:val="left"/>
      </w:pPr>
      <w:r>
        <w:rPr>
          <w:rFonts w:ascii="Times New Roman" w:hAnsi="Times New Roman" w:eastAsia="Times New Roman"/>
          <w:b w:val="0"/>
          <w:i w:val="0"/>
          <w:sz w:val="26"/>
        </w:rPr>
        <w:t>- Số hóa toàn bộ khối tài liệu giấy hiện có, ưu tiên các hồ sơ đang xuống cấp, có nguy cơ hủy hoại, hình thành từ trước năm 2000;</w:t>
      </w:r>
    </w:p>
    <w:p>
      <w:pPr>
        <w:spacing w:before="0" w:after="80"/>
        <w:ind w:firstLine="283"/>
        <w:jc w:val="left"/>
      </w:pPr>
      <w:r>
        <w:rPr>
          <w:rFonts w:ascii="Times New Roman" w:hAnsi="Times New Roman" w:eastAsia="Times New Roman"/>
          <w:b w:val="0"/>
          <w:i w:val="0"/>
          <w:sz w:val="26"/>
        </w:rPr>
        <w:t>- Xây dựng hệ thống quản lý lưu trữ hồ sơ điện tử tập trung, đáp ứng đầy đủ quy định của Luật Lưu trữ 2024;</w:t>
      </w:r>
    </w:p>
    <w:p>
      <w:pPr>
        <w:spacing w:before="0" w:after="80"/>
        <w:ind w:firstLine="283"/>
        <w:jc w:val="left"/>
      </w:pPr>
      <w:r>
        <w:rPr>
          <w:rFonts w:ascii="Times New Roman" w:hAnsi="Times New Roman" w:eastAsia="Times New Roman"/>
          <w:b w:val="0"/>
          <w:i w:val="0"/>
          <w:sz w:val="26"/>
        </w:rPr>
        <w:t>- Chuẩn hóa quy trình lưu trữ, tra cứu và khai thác hồ sơ; bảo đảm an toàn, toàn vẹn dữ liệu lâu dài.</w:t>
      </w:r>
    </w:p>
    <w:p>
      <w:pPr>
        <w:spacing w:before="0" w:after="80"/>
        <w:jc w:val="left"/>
      </w:pPr>
      <w:r>
        <w:rPr>
          <w:rFonts w:ascii="Times New Roman" w:hAnsi="Times New Roman" w:eastAsia="Times New Roman"/>
          <w:b/>
          <w:i w:val="0"/>
          <w:sz w:val="26"/>
        </w:rPr>
        <w:t>4.2. Phạm vi triển khai</w:t>
      </w:r>
    </w:p>
    <w:p>
      <w:pPr>
        <w:spacing w:before="0" w:after="80"/>
        <w:ind w:firstLine="709"/>
        <w:jc w:val="left"/>
      </w:pPr>
      <w:r>
        <w:rPr>
          <w:rFonts w:ascii="Times New Roman" w:hAnsi="Times New Roman" w:eastAsia="Times New Roman"/>
          <w:b w:val="0"/>
          <w:i w:val="0"/>
          <w:sz w:val="26"/>
        </w:rPr>
        <w:t>Triển khai trên toàn bộ hồ sơ, tài liệu đang lưu trữ tại Bảo hiểm xã hội Quân đội, bao gồm:</w:t>
      </w:r>
    </w:p>
    <w:p>
      <w:pPr>
        <w:spacing w:before="0" w:after="80"/>
        <w:ind w:firstLine="283"/>
        <w:jc w:val="left"/>
      </w:pPr>
      <w:r>
        <w:rPr>
          <w:rFonts w:ascii="Times New Roman" w:hAnsi="Times New Roman" w:eastAsia="Times New Roman"/>
          <w:b w:val="0"/>
          <w:i w:val="0"/>
          <w:sz w:val="26"/>
        </w:rPr>
        <w:t>- Hồ sơ nghiệp vụ BHXH: sổ BHXH, hồ sơ giải quyết các chế độ ốm đau, thai sản, tai nạn lao động, hưu trí, tử tuất;</w:t>
      </w:r>
    </w:p>
    <w:p>
      <w:pPr>
        <w:spacing w:before="0" w:after="80"/>
        <w:ind w:firstLine="283"/>
        <w:jc w:val="left"/>
      </w:pPr>
      <w:r>
        <w:rPr>
          <w:rFonts w:ascii="Times New Roman" w:hAnsi="Times New Roman" w:eastAsia="Times New Roman"/>
          <w:b w:val="0"/>
          <w:i w:val="0"/>
          <w:sz w:val="26"/>
        </w:rPr>
        <w:t>- Hồ sơ nghiệp vụ BHYT: hợp đồng khám chữa bệnh BHYT, hồ sơ giám định, thanh toán, quyết toán chi phí KCB;</w:t>
      </w:r>
    </w:p>
    <w:p>
      <w:pPr>
        <w:spacing w:before="0" w:after="80"/>
        <w:ind w:firstLine="283"/>
        <w:jc w:val="left"/>
      </w:pPr>
      <w:r>
        <w:rPr>
          <w:rFonts w:ascii="Times New Roman" w:hAnsi="Times New Roman" w:eastAsia="Times New Roman"/>
          <w:b w:val="0"/>
          <w:i w:val="0"/>
          <w:sz w:val="26"/>
        </w:rPr>
        <w:t>- Tài liệu hành chính – pháp lý: văn bản đến, văn bản đi, quyết định, hợp đồng, biên bản làm việc và tài liệu nội bộ khác.</w:t>
      </w:r>
    </w:p>
    <w:p>
      <w:pPr>
        <w:spacing w:before="0" w:after="80"/>
        <w:jc w:val="left"/>
      </w:pPr>
      <w:r>
        <w:rPr>
          <w:rFonts w:ascii="Times New Roman" w:hAnsi="Times New Roman" w:eastAsia="Times New Roman"/>
          <w:b/>
          <w:i w:val="0"/>
          <w:sz w:val="26"/>
        </w:rPr>
        <w:t>4.3. Các bước thực hiện</w:t>
      </w:r>
    </w:p>
    <w:p>
      <w:pPr>
        <w:spacing w:after="100" w:before="0"/>
        <w:ind w:left="567"/>
        <w:jc w:val="left"/>
      </w:pPr>
      <w:r>
        <w:rPr>
          <w:rFonts w:ascii="Times New Roman" w:hAnsi="Times New Roman" w:eastAsia="Times New Roman"/>
          <w:b/>
          <w:i w:val="0"/>
          <w:sz w:val="26"/>
          <w:highlight w:val="cyan"/>
        </w:rPr>
        <w:t xml:space="preserve">Bước 1. </w:t>
      </w:r>
      <w:r>
        <w:rPr>
          <w:rFonts w:ascii="Times New Roman" w:hAnsi="Times New Roman" w:eastAsia="Times New Roman"/>
          <w:b/>
          <w:i w:val="0"/>
          <w:sz w:val="26"/>
        </w:rPr>
        <w:t>Khảo sát, phân loại hồ sơ:</w:t>
      </w:r>
      <w:r>
        <w:rPr>
          <w:rFonts w:ascii="Times New Roman" w:hAnsi="Times New Roman" w:eastAsia="Times New Roman"/>
          <w:b w:val="0"/>
          <w:i w:val="0"/>
          <w:sz w:val="26"/>
        </w:rPr>
        <w:t xml:space="preserve"> Rà soát, thống kê toàn bộ khối lượng tài liệu hiện có; phân loại theo thời hạn bảo quản, mức độ xuống cấp và thứ tự ưu tiên số hóa; lập kế hoạch chi tiết trình Thủ trưởng Cục phê duyệt.</w:t>
      </w:r>
    </w:p>
    <w:p>
      <w:pPr>
        <w:spacing w:after="100" w:before="0"/>
        <w:ind w:left="567"/>
        <w:jc w:val="left"/>
      </w:pPr>
      <w:r>
        <w:rPr>
          <w:rFonts w:ascii="Times New Roman" w:hAnsi="Times New Roman" w:eastAsia="Times New Roman"/>
          <w:b/>
          <w:i w:val="0"/>
          <w:sz w:val="26"/>
          <w:highlight w:val="cyan"/>
        </w:rPr>
        <w:t xml:space="preserve">Bước 2. </w:t>
      </w:r>
      <w:r>
        <w:rPr>
          <w:rFonts w:ascii="Times New Roman" w:hAnsi="Times New Roman" w:eastAsia="Times New Roman"/>
          <w:b/>
          <w:i w:val="0"/>
          <w:sz w:val="26"/>
        </w:rPr>
        <w:t>Số hóa tài liệu:</w:t>
      </w:r>
      <w:r>
        <w:rPr>
          <w:rFonts w:ascii="Times New Roman" w:hAnsi="Times New Roman" w:eastAsia="Times New Roman"/>
          <w:b w:val="0"/>
          <w:i w:val="0"/>
          <w:sz w:val="26"/>
        </w:rPr>
        <w:t xml:space="preserve"> Thực hiện scan, nhận dạng ký tự (OCR), lập index và kiểm tra chất lượng toàn bộ tài liệu giấy; ưu tiên xử lý ngay các hồ sơ có nguy cơ hư hỏng cao.</w:t>
      </w:r>
    </w:p>
    <w:p>
      <w:pPr>
        <w:spacing w:after="100" w:before="0"/>
        <w:ind w:left="567"/>
        <w:jc w:val="left"/>
      </w:pPr>
      <w:r>
        <w:rPr>
          <w:rFonts w:ascii="Times New Roman" w:hAnsi="Times New Roman" w:eastAsia="Times New Roman"/>
          <w:b/>
          <w:i w:val="0"/>
          <w:sz w:val="26"/>
          <w:highlight w:val="cyan"/>
        </w:rPr>
        <w:t xml:space="preserve">Bước 3. </w:t>
      </w:r>
      <w:r>
        <w:rPr>
          <w:rFonts w:ascii="Times New Roman" w:hAnsi="Times New Roman" w:eastAsia="Times New Roman"/>
          <w:b/>
          <w:i w:val="0"/>
          <w:sz w:val="26"/>
        </w:rPr>
        <w:t>Xây dựng cơ sở dữ liệu điện tử:</w:t>
      </w:r>
      <w:r>
        <w:rPr>
          <w:rFonts w:ascii="Times New Roman" w:hAnsi="Times New Roman" w:eastAsia="Times New Roman"/>
          <w:b w:val="0"/>
          <w:i w:val="0"/>
          <w:sz w:val="26"/>
        </w:rPr>
        <w:t xml:space="preserve"> Tổ chức hệ thống quản lý hồ sơ điện tử với chức năng tra cứu đa tiêu chí, quản lý vòng đời tài liệu, phân quyền truy cập và sao lưu tự động.</w:t>
      </w:r>
    </w:p>
    <w:p>
      <w:pPr>
        <w:spacing w:after="100" w:before="0"/>
        <w:ind w:left="567"/>
        <w:jc w:val="left"/>
      </w:pPr>
      <w:r>
        <w:rPr>
          <w:rFonts w:ascii="Times New Roman" w:hAnsi="Times New Roman" w:eastAsia="Times New Roman"/>
          <w:b/>
          <w:i w:val="0"/>
          <w:sz w:val="26"/>
          <w:highlight w:val="cyan"/>
        </w:rPr>
        <w:t xml:space="preserve">Bước 4. </w:t>
      </w:r>
      <w:r>
        <w:rPr>
          <w:rFonts w:ascii="Times New Roman" w:hAnsi="Times New Roman" w:eastAsia="Times New Roman"/>
          <w:b/>
          <w:i w:val="0"/>
          <w:sz w:val="26"/>
        </w:rPr>
        <w:t>Vận hành và đào tạo:</w:t>
      </w:r>
      <w:r>
        <w:rPr>
          <w:rFonts w:ascii="Times New Roman" w:hAnsi="Times New Roman" w:eastAsia="Times New Roman"/>
          <w:b w:val="0"/>
          <w:i w:val="0"/>
          <w:sz w:val="26"/>
        </w:rPr>
        <w:t xml:space="preserve"> Tổ chức đào tạo cán bộ sử dụng hệ thống; vận hành song song với hệ thống giấy trong 03 tháng đầu để kiểm tra, hiệu chỉnh trước khi chuyển đổi hoàn toàn.</w:t>
      </w:r>
    </w:p>
    <w:p>
      <w:pPr>
        <w:spacing w:after="100" w:before="0"/>
        <w:ind w:left="567"/>
        <w:jc w:val="left"/>
      </w:pPr>
      <w:r>
        <w:rPr>
          <w:rFonts w:ascii="Times New Roman" w:hAnsi="Times New Roman" w:eastAsia="Times New Roman"/>
          <w:b/>
          <w:i w:val="0"/>
          <w:sz w:val="26"/>
          <w:highlight w:val="cyan"/>
        </w:rPr>
        <w:t xml:space="preserve">Bước 5. </w:t>
      </w:r>
      <w:r>
        <w:rPr>
          <w:rFonts w:ascii="Times New Roman" w:hAnsi="Times New Roman" w:eastAsia="Times New Roman"/>
          <w:b/>
          <w:i w:val="0"/>
          <w:sz w:val="26"/>
        </w:rPr>
        <w:t>Duy trì và cập nhật:</w:t>
      </w:r>
      <w:r>
        <w:rPr>
          <w:rFonts w:ascii="Times New Roman" w:hAnsi="Times New Roman" w:eastAsia="Times New Roman"/>
          <w:b w:val="0"/>
          <w:i w:val="0"/>
          <w:sz w:val="26"/>
        </w:rPr>
        <w:t xml:space="preserve"> Bảo đảm vận hành liên tục; định kỳ cập nhật khi có thay đổi về quy định; báo cáo tình hình lưu trữ theo quy định.</w:t>
      </w:r>
    </w:p>
    <w:p>
      <w:pPr>
        <w:spacing w:before="40" w:after="80"/>
        <w:jc w:val="left"/>
      </w:pPr>
      <w:r>
        <w:rPr>
          <w:rFonts w:ascii="Times New Roman" w:hAnsi="Times New Roman" w:eastAsia="Times New Roman"/>
          <w:b/>
          <w:i w:val="0"/>
          <w:sz w:val="26"/>
        </w:rPr>
        <w:t>4.4. Dự kiến kinh phí và nguồn kinh phí</w:t>
      </w:r>
    </w:p>
    <w:p>
      <w:pPr>
        <w:spacing w:after="80" w:before="0"/>
        <w:ind w:firstLine="709"/>
        <w:jc w:val="left"/>
      </w:pPr>
      <w:r>
        <w:rPr>
          <w:rFonts w:ascii="Times New Roman" w:hAnsi="Times New Roman" w:eastAsia="Times New Roman"/>
          <w:b w:val="0"/>
          <w:i w:val="0"/>
          <w:sz w:val="26"/>
        </w:rPr>
        <w:t xml:space="preserve">Kinh phí thực hiện gồm hai phần chính: (1) </w:t>
      </w:r>
      <w:r>
        <w:rPr>
          <w:rFonts w:ascii="Times New Roman" w:hAnsi="Times New Roman" w:eastAsia="Times New Roman"/>
          <w:b w:val="0"/>
          <w:i w:val="0"/>
          <w:sz w:val="26"/>
          <w:highlight w:val="yellow"/>
        </w:rPr>
        <w:t>chi phí thuê phần mềm quản lý lưu trữ hồ sơ điện tử</w:t>
      </w:r>
      <w:r>
        <w:rPr>
          <w:rFonts w:ascii="Times New Roman" w:hAnsi="Times New Roman" w:eastAsia="Times New Roman"/>
          <w:b w:val="0"/>
          <w:i w:val="0"/>
          <w:sz w:val="26"/>
        </w:rPr>
        <w:t xml:space="preserve"> theo năm; (2) </w:t>
      </w:r>
      <w:r>
        <w:rPr>
          <w:rFonts w:ascii="Times New Roman" w:hAnsi="Times New Roman" w:eastAsia="Times New Roman"/>
          <w:b w:val="0"/>
          <w:i w:val="0"/>
          <w:sz w:val="26"/>
          <w:highlight w:val="yellow"/>
        </w:rPr>
        <w:t>chi phí dịch vụ số hóa tài liệu giấy hiện có</w:t>
      </w:r>
      <w:r>
        <w:rPr>
          <w:rFonts w:ascii="Times New Roman" w:hAnsi="Times New Roman" w:eastAsia="Times New Roman"/>
          <w:b w:val="0"/>
          <w:i w:val="0"/>
          <w:sz w:val="26"/>
        </w:rPr>
        <w:t xml:space="preserve"> (thực hiện một lần). Tổng mức kinh phí cụ thể sẽ được Phòng Chế độ BHYT phối hợp với Phòng Tài chính - Kế toán xác định sau khi hoàn thành khảo sát, phân loại hồ sơ và lập dự toán chi tiết, trình Thủ trưởng Cục phê duyệt theo đúng quy định hiện hành.</w:t>
      </w:r>
    </w:p>
    <w:p>
      <w:pPr>
        <w:spacing w:before="0" w:after="80"/>
        <w:ind w:firstLine="709"/>
        <w:jc w:val="left"/>
      </w:pPr>
      <w:r>
        <w:rPr>
          <w:rFonts w:ascii="Times New Roman" w:hAnsi="Times New Roman" w:eastAsia="Times New Roman"/>
          <w:b w:val="0"/>
          <w:i w:val="0"/>
          <w:sz w:val="26"/>
        </w:rPr>
        <w:t>Nguồn kinh phí đề xuất từ kinh phí hoạt động thường xuyên được giao hàng năm hoặc các nguồn kinh phí hợp pháp khác theo quy định về tài chính hiện hành.</w:t>
      </w:r>
    </w:p>
    <w:p>
      <w:pPr>
        <w:spacing w:before="80" w:after="80"/>
        <w:jc w:val="left"/>
      </w:pPr>
      <w:r>
        <w:rPr>
          <w:rFonts w:ascii="Times New Roman" w:hAnsi="Times New Roman" w:eastAsia="Times New Roman"/>
          <w:b/>
          <w:i w:val="0"/>
          <w:color w:val="C00000"/>
          <w:sz w:val="26"/>
        </w:rPr>
        <w:t>5. Kiến nghị</w:t>
      </w:r>
    </w:p>
    <w:p>
      <w:pPr>
        <w:spacing w:before="0" w:after="80"/>
        <w:ind w:firstLine="709"/>
        <w:jc w:val="left"/>
      </w:pPr>
      <w:r>
        <w:rPr>
          <w:rFonts w:ascii="Times New Roman" w:hAnsi="Times New Roman" w:eastAsia="Times New Roman"/>
          <w:b w:val="0"/>
          <w:i w:val="0"/>
          <w:sz w:val="26"/>
        </w:rPr>
        <w:t>Căn cứ thực trạng và sự cần thiết nêu trên, Phòng Chế độ BHYT kính đề nghị Thủ trưởng Cục xem xét:</w:t>
      </w:r>
    </w:p>
    <w:p>
      <w:pPr>
        <w:spacing w:after="100"/>
        <w:jc w:val="left"/>
      </w:pPr>
      <w:r>
        <w:rPr>
          <w:rFonts w:ascii="Times New Roman" w:hAnsi="Times New Roman" w:eastAsia="Times New Roman"/>
          <w:b w:val="0"/>
          <w:i w:val="0"/>
          <w:sz w:val="26"/>
        </w:rPr>
        <w:t xml:space="preserve">- Chấp thuận chủ trương </w:t>
      </w:r>
      <w:r>
        <w:rPr>
          <w:rFonts w:ascii="Times New Roman" w:hAnsi="Times New Roman" w:eastAsia="Times New Roman"/>
          <w:b/>
          <w:i w:val="0"/>
          <w:sz w:val="26"/>
          <w:highlight w:val="cyan"/>
        </w:rPr>
        <w:t>triển khai giải pháp Quản lý Lưu trữ Hồ sơ Điện tử</w:t>
      </w:r>
      <w:r>
        <w:rPr>
          <w:rFonts w:ascii="Times New Roman" w:hAnsi="Times New Roman" w:eastAsia="Times New Roman"/>
          <w:b w:val="0"/>
          <w:i w:val="0"/>
          <w:sz w:val="26"/>
        </w:rPr>
        <w:t xml:space="preserve"> tại Bảo hiểm xã hội Quân đội.</w:t>
      </w:r>
    </w:p>
    <w:p>
      <w:pPr>
        <w:spacing w:after="100"/>
        <w:jc w:val="left"/>
      </w:pPr>
      <w:r>
        <w:rPr>
          <w:rFonts w:ascii="Times New Roman" w:hAnsi="Times New Roman" w:eastAsia="Times New Roman"/>
          <w:b w:val="0"/>
          <w:i w:val="0"/>
          <w:sz w:val="26"/>
        </w:rPr>
        <w:t xml:space="preserve">- Giao </w:t>
      </w:r>
      <w:r>
        <w:rPr>
          <w:rFonts w:ascii="Times New Roman" w:hAnsi="Times New Roman" w:eastAsia="Times New Roman"/>
          <w:b/>
          <w:i w:val="0"/>
          <w:sz w:val="26"/>
          <w:highlight w:val="cyan"/>
        </w:rPr>
        <w:t>Phòng Chế độ BHYT</w:t>
      </w:r>
      <w:r>
        <w:rPr>
          <w:rFonts w:ascii="Times New Roman" w:hAnsi="Times New Roman" w:eastAsia="Times New Roman"/>
          <w:b w:val="0"/>
          <w:i w:val="0"/>
          <w:sz w:val="26"/>
        </w:rPr>
        <w:t xml:space="preserve"> chủ trì, phối hợp Phòng Tài chính - Kế toán và Phòng Công nghệ thông tin tiến hành khảo sát thực tế, lập kế hoạch và dự toán chi tiết trình Thủ trưởng Cục phê duyệt trong </w:t>
      </w:r>
      <w:r>
        <w:rPr>
          <w:rFonts w:ascii="Times New Roman" w:hAnsi="Times New Roman" w:eastAsia="Times New Roman"/>
          <w:b/>
          <w:i w:val="0"/>
          <w:sz w:val="26"/>
          <w:highlight w:val="cyan"/>
        </w:rPr>
        <w:t>Quý III/2026</w:t>
      </w:r>
      <w:r>
        <w:rPr>
          <w:rFonts w:ascii="Times New Roman" w:hAnsi="Times New Roman" w:eastAsia="Times New Roman"/>
          <w:b w:val="0"/>
          <w:i w:val="0"/>
          <w:sz w:val="26"/>
        </w:rPr>
        <w:t>.</w:t>
      </w:r>
    </w:p>
    <w:p>
      <w:pPr>
        <w:spacing w:after="100"/>
        <w:jc w:val="left"/>
      </w:pPr>
      <w:r>
        <w:rPr>
          <w:rFonts w:ascii="Times New Roman" w:hAnsi="Times New Roman" w:eastAsia="Times New Roman"/>
          <w:b w:val="0"/>
          <w:i w:val="0"/>
          <w:sz w:val="26"/>
        </w:rPr>
        <w:t xml:space="preserve">- Giao </w:t>
      </w:r>
      <w:r>
        <w:rPr>
          <w:rFonts w:ascii="Times New Roman" w:hAnsi="Times New Roman" w:eastAsia="Times New Roman"/>
          <w:b/>
          <w:i w:val="0"/>
          <w:sz w:val="26"/>
          <w:highlight w:val="cyan"/>
        </w:rPr>
        <w:t>Phòng Công nghệ thông tin và Quản lý hồ sơ</w:t>
      </w:r>
      <w:r>
        <w:rPr>
          <w:rFonts w:ascii="Times New Roman" w:hAnsi="Times New Roman" w:eastAsia="Times New Roman"/>
          <w:b w:val="0"/>
          <w:i w:val="0"/>
          <w:sz w:val="26"/>
        </w:rPr>
        <w:t xml:space="preserve"> phối hợp đánh giá yêu cầu kỹ thuật, bảo mật, an toàn thông tin của giải pháp trước khi tổ chức lựa chọn nhà thầu theo quy định của Luật Đấu thầu.</w:t>
      </w:r>
    </w:p>
    <w:p>
      <w:pPr>
        <w:spacing w:after="100"/>
        <w:jc w:val="left"/>
      </w:pPr>
      <w:r>
        <w:rPr>
          <w:rFonts w:ascii="Times New Roman" w:hAnsi="Times New Roman" w:eastAsia="Times New Roman"/>
          <w:b w:val="0"/>
          <w:i w:val="0"/>
          <w:sz w:val="26"/>
        </w:rPr>
        <w:t xml:space="preserve">- Sau khi được phê duyệt, cho phép </w:t>
      </w:r>
      <w:r>
        <w:rPr>
          <w:rFonts w:ascii="Times New Roman" w:hAnsi="Times New Roman" w:eastAsia="Times New Roman"/>
          <w:b/>
          <w:i w:val="0"/>
          <w:sz w:val="26"/>
          <w:highlight w:val="cyan"/>
        </w:rPr>
        <w:t>triển khai trong Quý IV/2026</w:t>
      </w:r>
      <w:r>
        <w:rPr>
          <w:rFonts w:ascii="Times New Roman" w:hAnsi="Times New Roman" w:eastAsia="Times New Roman"/>
          <w:b w:val="0"/>
          <w:i w:val="0"/>
          <w:sz w:val="26"/>
        </w:rPr>
        <w:t xml:space="preserve"> để bảo đảm tuân thủ quy định của Luật Lưu trữ 2024 từ đầu năm 2027.</w:t>
      </w:r>
    </w:p>
    <w:p>
      <w:pPr>
        <w:spacing w:before="160" w:after="320"/>
        <w:ind w:firstLine="709"/>
        <w:jc w:val="left"/>
      </w:pPr>
      <w:r>
        <w:rPr>
          <w:rFonts w:ascii="Times New Roman" w:hAnsi="Times New Roman" w:eastAsia="Times New Roman"/>
          <w:b w:val="0"/>
          <w:i w:val="0"/>
          <w:sz w:val="26"/>
        </w:rPr>
        <w:t>Kính trình Thủ trưởng Cục xem xét, quyết định.</w:t>
      </w:r>
    </w:p>
    <w:tbl>
      <w:tblPr>
        <w:tblStyle w:val="TableGrid"/>
        <w:tblW w:type="auto" w:w="0"/>
        <w:tblLook w:firstColumn="1" w:firstRow="1" w:lastColumn="0" w:lastRow="0" w:noHBand="0" w:noVBand="1" w:val="04A0"/>
      </w:tblPr>
      <w:tblGrid>
        <w:gridCol w:w="4535"/>
        <w:gridCol w:w="4535"/>
      </w:tblGrid>
      <w:tr>
        <w:tc>
          <w:tcPr>
            <w:tcW w:type="dxa" w:w="4252"/>
            <w:tcBorders>
              <w:top w:val="none"/>
              <w:left w:val="none"/>
              <w:bottom w:val="none"/>
              <w:right w:val="none"/>
            </w:tcBorders>
          </w:tcPr>
          <w:p>
            <w:pPr>
              <w:jc w:val="center"/>
            </w:pPr>
            <w:r>
              <w:rPr>
                <w:rFonts w:ascii="Times New Roman" w:hAnsi="Times New Roman" w:eastAsia="Times New Roman"/>
                <w:b/>
                <w:i w:val="0"/>
                <w:sz w:val="24"/>
              </w:rPr>
              <w:t>TRƯỞNG PHÒNG CHẾ ĐỘ BHYT</w:t>
            </w:r>
          </w:p>
          <w:p>
            <w:pPr>
              <w:jc w:val="center"/>
            </w:pPr>
            <w:r>
              <w:rPr>
                <w:rFonts w:ascii="Times New Roman" w:hAnsi="Times New Roman" w:eastAsia="Times New Roman"/>
                <w:b w:val="0"/>
                <w:i/>
                <w:sz w:val="22"/>
              </w:rPr>
              <w:t>(Ký, ghi rõ họ tên, đóng dấu)</w:t>
            </w:r>
          </w:p>
          <w:p/>
          <w:p/>
          <w:p/>
          <w:p/>
        </w:tc>
        <w:tc>
          <w:tcPr>
            <w:tcW w:type="dxa" w:w="4252"/>
            <w:tcBorders>
              <w:top w:val="none"/>
              <w:left w:val="none"/>
              <w:bottom w:val="none"/>
              <w:right w:val="none"/>
            </w:tcBorders>
          </w:tcPr>
          <w:p>
            <w:pPr>
              <w:jc w:val="center"/>
            </w:pPr>
            <w:r>
              <w:rPr>
                <w:rFonts w:ascii="Times New Roman" w:hAnsi="Times New Roman" w:eastAsia="Times New Roman"/>
                <w:b/>
                <w:i w:val="0"/>
                <w:sz w:val="24"/>
              </w:rPr>
              <w:t>GIÁM ĐỐC BHXH QUÂN ĐỘI</w:t>
            </w:r>
          </w:p>
          <w:p>
            <w:pPr>
              <w:jc w:val="center"/>
            </w:pPr>
            <w:r>
              <w:rPr>
                <w:rFonts w:ascii="Times New Roman" w:hAnsi="Times New Roman" w:eastAsia="Times New Roman"/>
                <w:b w:val="0"/>
                <w:i/>
                <w:sz w:val="22"/>
              </w:rPr>
              <w:t>(Ký, ghi rõ họ tên, đóng dấu)</w:t>
            </w:r>
          </w:p>
          <w:p/>
          <w:p/>
          <w:p/>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