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535"/>
        <w:gridCol w:w="4535"/>
      </w:tblGrid>
      <w:tr>
        <w:tc>
          <w:tcPr>
            <w:tcW w:type="dxa" w:w="4535"/>
            <w:tcBorders>
              <w:top w:val="none"/>
              <w:left w:val="none"/>
              <w:bottom w:val="none"/>
              <w:right w:val="none"/>
            </w:tcBorders>
          </w:tcPr>
          <w:p>
            <w:pPr>
              <w:jc w:val="center"/>
            </w:pPr>
            <w:r>
              <w:rPr>
                <w:rFonts w:ascii="Times New Roman" w:hAnsi="Times New Roman" w:eastAsia="Times New Roman"/>
                <w:b/>
                <w:i w:val="0"/>
                <w:sz w:val="24"/>
              </w:rPr>
              <w:t>BẢO HIỂM XÃ HỘI QUÂN ĐỘI</w:t>
            </w:r>
          </w:p>
          <w:p>
            <w:pPr>
              <w:jc w:val="center"/>
            </w:pPr>
            <w:r>
              <w:rPr>
                <w:rFonts w:ascii="Times New Roman" w:hAnsi="Times New Roman" w:eastAsia="Times New Roman"/>
                <w:b/>
                <w:i w:val="0"/>
                <w:sz w:val="24"/>
              </w:rPr>
              <w:t>PHÒNG CHẾ ĐỘ BHYT</w:t>
            </w:r>
          </w:p>
          <w:p>
            <w:pPr>
              <w:jc w:val="center"/>
            </w:pPr>
            <w:r>
              <w:rPr>
                <w:rFonts w:ascii="Times New Roman" w:hAnsi="Times New Roman" w:eastAsia="Times New Roman"/>
                <w:b w:val="0"/>
                <w:i w:val="0"/>
                <w:sz w:val="24"/>
              </w:rPr>
              <w:t>─────────────</w:t>
            </w:r>
          </w:p>
          <w:p>
            <w:pPr>
              <w:jc w:val="center"/>
            </w:pPr>
            <w:r>
              <w:rPr>
                <w:rFonts w:ascii="Times New Roman" w:hAnsi="Times New Roman" w:eastAsia="Times New Roman"/>
                <w:b w:val="0"/>
                <w:i w:val="0"/>
                <w:sz w:val="24"/>
              </w:rPr>
              <w:t>Số:        -TTr-CDBHYT</w:t>
            </w:r>
          </w:p>
        </w:tc>
        <w:tc>
          <w:tcPr>
            <w:tcW w:type="dxa" w:w="4535"/>
            <w:tcBorders>
              <w:top w:val="none"/>
              <w:left w:val="none"/>
              <w:bottom w:val="none"/>
              <w:right w:val="none"/>
            </w:tcBorders>
          </w:tcPr>
          <w:p>
            <w:pPr>
              <w:jc w:val="center"/>
            </w:pPr>
            <w:r>
              <w:rPr>
                <w:rFonts w:ascii="Times New Roman" w:hAnsi="Times New Roman" w:eastAsia="Times New Roman"/>
                <w:b/>
                <w:i w:val="0"/>
                <w:sz w:val="24"/>
              </w:rPr>
              <w:t>CỘNG HÒA XÃ HỘI CHỦ NGHĨA VIỆT NAM</w:t>
            </w:r>
          </w:p>
          <w:p>
            <w:pPr>
              <w:jc w:val="center"/>
            </w:pPr>
            <w:r>
              <w:rPr>
                <w:rFonts w:ascii="Times New Roman" w:hAnsi="Times New Roman" w:eastAsia="Times New Roman"/>
                <w:b/>
                <w:i w:val="0"/>
                <w:sz w:val="24"/>
              </w:rPr>
              <w:t>Độc lập – Tự do – Hạnh phúc</w:t>
            </w:r>
          </w:p>
          <w:p>
            <w:pPr>
              <w:jc w:val="center"/>
            </w:pPr>
            <w:r>
              <w:rPr>
                <w:rFonts w:ascii="Times New Roman" w:hAnsi="Times New Roman" w:eastAsia="Times New Roman"/>
                <w:b w:val="0"/>
                <w:i w:val="0"/>
                <w:sz w:val="24"/>
              </w:rPr>
              <w:t>─────────────────────</w:t>
            </w:r>
          </w:p>
          <w:p>
            <w:pPr>
              <w:jc w:val="center"/>
            </w:pPr>
            <w:r>
              <w:rPr>
                <w:rFonts w:ascii="Times New Roman" w:hAnsi="Times New Roman" w:eastAsia="Times New Roman"/>
                <w:b w:val="0"/>
                <w:i/>
                <w:sz w:val="24"/>
              </w:rPr>
              <w:t>Hà Nội, ngày      tháng 7 năm 2026</w:t>
            </w:r>
          </w:p>
        </w:tc>
      </w:tr>
    </w:tbl>
    <w:p/>
    <w:p>
      <w:pPr>
        <w:spacing w:before="0" w:after="40"/>
        <w:jc w:val="center"/>
      </w:pPr>
      <w:r>
        <w:rPr>
          <w:rFonts w:ascii="Times New Roman" w:hAnsi="Times New Roman" w:eastAsia="Times New Roman"/>
          <w:b/>
          <w:i w:val="0"/>
          <w:sz w:val="28"/>
        </w:rPr>
        <w:t>TỜ TRÌNH</w:t>
      </w:r>
    </w:p>
    <w:p>
      <w:pPr>
        <w:spacing w:before="0" w:after="40"/>
        <w:jc w:val="center"/>
      </w:pPr>
      <w:r>
        <w:rPr>
          <w:rFonts w:ascii="Times New Roman" w:hAnsi="Times New Roman" w:eastAsia="Times New Roman"/>
          <w:b/>
          <w:i w:val="0"/>
          <w:sz w:val="26"/>
        </w:rPr>
        <w:t>V/v đề nghị chủ trương triển khai Phần mềm Quản lý Lưu trữ Hồ sơ Điện tử</w:t>
      </w:r>
    </w:p>
    <w:p>
      <w:pPr>
        <w:spacing w:before="0" w:after="200"/>
        <w:jc w:val="center"/>
      </w:pPr>
      <w:r>
        <w:rPr>
          <w:rFonts w:ascii="Times New Roman" w:hAnsi="Times New Roman" w:eastAsia="Times New Roman"/>
          <w:b/>
          <w:i w:val="0"/>
          <w:sz w:val="26"/>
        </w:rPr>
        <w:t>tại Bảo hiểm xã hội Quân đội</w:t>
      </w:r>
    </w:p>
    <w:p>
      <w:pPr>
        <w:spacing w:before="0" w:after="40"/>
        <w:jc w:val="left"/>
      </w:pPr>
      <w:r>
        <w:rPr>
          <w:rFonts w:ascii="Times New Roman" w:hAnsi="Times New Roman" w:eastAsia="Times New Roman"/>
          <w:b/>
          <w:i w:val="0"/>
          <w:sz w:val="26"/>
        </w:rPr>
        <w:t>Kính gửi:</w:t>
      </w:r>
    </w:p>
    <w:p>
      <w:pPr>
        <w:spacing w:before="0" w:after="40"/>
        <w:jc w:val="left"/>
      </w:pPr>
      <w:r>
        <w:rPr>
          <w:rFonts w:ascii="Times New Roman" w:hAnsi="Times New Roman" w:eastAsia="Times New Roman"/>
          <w:b w:val="0"/>
          <w:i w:val="0"/>
          <w:sz w:val="26"/>
        </w:rPr>
        <w:t>- Thiếu tướng Đoàn Quang Hòa, Cục Trưởng Cục Chính sách - Xã hội;</w:t>
      </w:r>
    </w:p>
    <w:p>
      <w:pPr>
        <w:spacing w:before="0" w:after="200"/>
        <w:jc w:val="left"/>
      </w:pPr>
      <w:r>
        <w:rPr>
          <w:rFonts w:ascii="Times New Roman" w:hAnsi="Times New Roman" w:eastAsia="Times New Roman"/>
          <w:b w:val="0"/>
          <w:i w:val="0"/>
          <w:sz w:val="26"/>
        </w:rPr>
        <w:t>- Thiếu tướng Cao Xuân Thắng, Phó Cục Trưởng Cục Chính sách - Xã hội, Giám đốc Bảo hiểm xã hội Quân đội.</w:t>
      </w:r>
    </w:p>
    <w:p>
      <w:pPr>
        <w:spacing w:after="200" w:before="0"/>
        <w:ind w:firstLine="709"/>
        <w:jc w:val="left"/>
      </w:pPr>
      <w:r>
        <w:rPr>
          <w:rFonts w:ascii="Times New Roman" w:hAnsi="Times New Roman" w:eastAsia="Times New Roman"/>
          <w:b w:val="0"/>
          <w:i w:val="0"/>
          <w:sz w:val="26"/>
        </w:rPr>
        <w:t xml:space="preserve">Phòng Chế độ BHYT kính trình Thủ trưởng Cục xem xét, </w:t>
      </w:r>
      <w:r>
        <w:rPr>
          <w:rFonts w:ascii="Times New Roman" w:hAnsi="Times New Roman" w:eastAsia="Times New Roman"/>
          <w:b/>
          <w:i w:val="0"/>
          <w:sz w:val="26"/>
          <w:highlight w:val="cyan"/>
        </w:rPr>
        <w:t>cho chủ trương triển khai Phần mềm Quản lý Lưu trữ Hồ sơ Điện tử</w:t>
      </w:r>
      <w:r>
        <w:rPr>
          <w:rFonts w:ascii="Times New Roman" w:hAnsi="Times New Roman" w:eastAsia="Times New Roman"/>
          <w:b w:val="0"/>
          <w:i w:val="0"/>
          <w:sz w:val="26"/>
        </w:rPr>
        <w:t xml:space="preserve"> tại Bảo hiểm xã hội Quân đội nhằm thực hiện </w:t>
      </w:r>
      <w:r>
        <w:rPr>
          <w:rFonts w:ascii="Times New Roman" w:hAnsi="Times New Roman" w:eastAsia="Times New Roman"/>
          <w:b/>
          <w:i w:val="0"/>
          <w:sz w:val="26"/>
          <w:highlight w:val="yellow"/>
        </w:rPr>
        <w:t>Kế hoạch số 158-KH/ĐU</w:t>
      </w:r>
      <w:r>
        <w:rPr>
          <w:rFonts w:ascii="Times New Roman" w:hAnsi="Times New Roman" w:eastAsia="Times New Roman"/>
          <w:b w:val="0"/>
          <w:i w:val="0"/>
          <w:sz w:val="26"/>
        </w:rPr>
        <w:t xml:space="preserve"> của Đảng ủy Cục Chính sách - Xã hội về chuyển đổi số năm 2026, với các nội dung sau:</w:t>
      </w:r>
    </w:p>
    <w:p>
      <w:pPr>
        <w:spacing w:before="0" w:after="80"/>
        <w:jc w:val="left"/>
      </w:pPr>
      <w:r>
        <w:rPr>
          <w:rFonts w:ascii="Times New Roman" w:hAnsi="Times New Roman" w:eastAsia="Times New Roman"/>
          <w:b/>
          <w:i w:val="0"/>
          <w:color w:val="C00000"/>
          <w:sz w:val="26"/>
        </w:rPr>
        <w:t>1. Thực trạng công tác quản lý, lưu trữ hồ sơ tại BHXH Quân đội</w:t>
      </w:r>
    </w:p>
    <w:p>
      <w:pPr>
        <w:spacing w:before="0" w:after="60"/>
        <w:jc w:val="left"/>
      </w:pPr>
      <w:r>
        <w:rPr>
          <w:rFonts w:ascii="Times New Roman" w:hAnsi="Times New Roman" w:eastAsia="Times New Roman"/>
          <w:b/>
          <w:i w:val="0"/>
          <w:sz w:val="26"/>
        </w:rPr>
        <w:t>a) Kết quả đạt được</w:t>
      </w:r>
    </w:p>
    <w:p>
      <w:pPr>
        <w:spacing w:before="0" w:after="120"/>
        <w:ind w:firstLine="709"/>
        <w:jc w:val="left"/>
      </w:pPr>
      <w:r>
        <w:rPr>
          <w:rFonts w:ascii="Times New Roman" w:hAnsi="Times New Roman" w:eastAsia="Times New Roman"/>
          <w:b w:val="0"/>
          <w:i w:val="0"/>
          <w:sz w:val="26"/>
        </w:rPr>
        <w:t>Trong những năm qua, công tác quản lý và lưu trữ hồ sơ tại Bảo hiểm xã hội Quân đội đã được tổ chức bài bản, có nề nếp. Cơ quan đã xây dựng được kho lưu trữ chuyên dụng với không gian bảo quản đáp ứng yêu cầu cơ bản; bố trí cán bộ chuyên trách công tác lưu trữ được đào tạo nghiệp vụ; thực hiện phân loại, chỉnh lý và sắp xếp hồ sơ theo trình tự khoa học. Toàn bộ hồ sơ BHXH, BHYT được quản lý chặt chẽ theo danh mục, có sổ theo dõi mượn trả, bảo đảm không thất lạc tài liệu trong quá trình khai thác, sử dụng.</w:t>
      </w:r>
    </w:p>
    <w:p>
      <w:pPr>
        <w:spacing w:before="0" w:after="60"/>
        <w:jc w:val="left"/>
      </w:pPr>
      <w:r>
        <w:rPr>
          <w:rFonts w:ascii="Times New Roman" w:hAnsi="Times New Roman" w:eastAsia="Times New Roman"/>
          <w:b/>
          <w:i w:val="0"/>
          <w:sz w:val="26"/>
        </w:rPr>
        <w:t>b) Hạn chế, tồn tại</w:t>
      </w:r>
    </w:p>
    <w:p>
      <w:pPr>
        <w:spacing w:before="0" w:after="100"/>
        <w:ind w:firstLine="709"/>
        <w:jc w:val="left"/>
      </w:pPr>
      <w:r>
        <w:rPr>
          <w:rFonts w:ascii="Times New Roman" w:hAnsi="Times New Roman" w:eastAsia="Times New Roman"/>
          <w:b w:val="0"/>
          <w:i w:val="0"/>
          <w:sz w:val="26"/>
        </w:rPr>
        <w:t>Tuy nhiên, toàn bộ công tác quản lý, lưu trữ và khai thác hồ sơ hiện nay vẫn được thực hiện hoàn toàn theo phương thức thủ công trên hồ sơ giấy, chưa có phần mềm quản lý hồ sơ điện tử chuyên dụng. Điều này dẫn đến một số hạn chế cụ thể:</w:t>
      </w:r>
    </w:p>
    <w:p>
      <w:pPr>
        <w:spacing w:after="100" w:before="0"/>
        <w:ind w:firstLine="709"/>
        <w:jc w:val="left"/>
      </w:pPr>
      <w:r>
        <w:rPr>
          <w:rFonts w:ascii="Times New Roman" w:hAnsi="Times New Roman" w:eastAsia="Times New Roman"/>
          <w:b w:val="0"/>
          <w:i w:val="0"/>
          <w:sz w:val="26"/>
        </w:rPr>
        <w:t xml:space="preserve">- </w:t>
      </w:r>
      <w:r>
        <w:rPr>
          <w:rFonts w:ascii="Times New Roman" w:hAnsi="Times New Roman" w:eastAsia="Times New Roman"/>
          <w:b/>
          <w:i w:val="0"/>
          <w:sz w:val="26"/>
          <w:highlight w:val="yellow"/>
        </w:rPr>
        <w:t>Tra cứu, khai thác hồ sơ chậm:</w:t>
      </w:r>
      <w:r>
        <w:rPr>
          <w:rFonts w:ascii="Times New Roman" w:hAnsi="Times New Roman" w:eastAsia="Times New Roman"/>
          <w:b w:val="0"/>
          <w:i w:val="0"/>
          <w:sz w:val="26"/>
        </w:rPr>
        <w:t xml:space="preserve"> Việc tìm kiếm hồ sơ phải thực hiện thủ công qua hệ thống mục lục giấy, tốn nhiều thời gian, phụ thuộc vào kinh nghiệm cán bộ và khó tra cứu khi cần tìm đồng thời theo nhiều tiêu chí (tên người, thời gian, loại chế độ...).</w:t>
      </w:r>
    </w:p>
    <w:p>
      <w:pPr>
        <w:spacing w:after="100" w:before="0"/>
        <w:ind w:firstLine="709"/>
        <w:jc w:val="left"/>
      </w:pPr>
      <w:r>
        <w:rPr>
          <w:rFonts w:ascii="Times New Roman" w:hAnsi="Times New Roman" w:eastAsia="Times New Roman"/>
          <w:b w:val="0"/>
          <w:i w:val="0"/>
          <w:sz w:val="26"/>
        </w:rPr>
        <w:t xml:space="preserve">- </w:t>
      </w:r>
      <w:r>
        <w:rPr>
          <w:rFonts w:ascii="Times New Roman" w:hAnsi="Times New Roman" w:eastAsia="Times New Roman"/>
          <w:b/>
          <w:i w:val="0"/>
          <w:sz w:val="26"/>
          <w:highlight w:val="yellow"/>
        </w:rPr>
        <w:t>Quản lý vòng đời hồ sơ chưa hệ thống:</w:t>
      </w:r>
      <w:r>
        <w:rPr>
          <w:rFonts w:ascii="Times New Roman" w:hAnsi="Times New Roman" w:eastAsia="Times New Roman"/>
          <w:b w:val="0"/>
          <w:i w:val="0"/>
          <w:sz w:val="26"/>
        </w:rPr>
        <w:t xml:space="preserve"> Chưa có công cụ theo dõi thời hạn bảo quản, nhắc hạn xem xét tiêu hủy; việc kiểm kê, thống kê hồ sơ định kỳ còn mất nhiều nhân lực và dễ sai sót.</w:t>
      </w:r>
    </w:p>
    <w:p>
      <w:pPr>
        <w:spacing w:after="100" w:before="0"/>
        <w:ind w:firstLine="709"/>
        <w:jc w:val="left"/>
      </w:pPr>
      <w:r>
        <w:rPr>
          <w:rFonts w:ascii="Times New Roman" w:hAnsi="Times New Roman" w:eastAsia="Times New Roman"/>
          <w:b w:val="0"/>
          <w:i w:val="0"/>
          <w:sz w:val="26"/>
        </w:rPr>
        <w:t xml:space="preserve">- </w:t>
      </w:r>
      <w:r>
        <w:rPr>
          <w:rFonts w:ascii="Times New Roman" w:hAnsi="Times New Roman" w:eastAsia="Times New Roman"/>
          <w:b/>
          <w:i w:val="0"/>
          <w:sz w:val="26"/>
          <w:highlight w:val="yellow"/>
        </w:rPr>
        <w:t>Chưa có sao lưu dữ liệu dự phòng:</w:t>
      </w:r>
      <w:r>
        <w:rPr>
          <w:rFonts w:ascii="Times New Roman" w:hAnsi="Times New Roman" w:eastAsia="Times New Roman"/>
          <w:b w:val="0"/>
          <w:i w:val="0"/>
          <w:sz w:val="26"/>
        </w:rPr>
        <w:t xml:space="preserve"> Toàn bộ thông tin hồ sơ chỉ tồn tại duy nhất trên tài liệu giấy, tiềm ẩn rủi ro thất thoát không thể khôi phục khi xảy ra sự cố cháy, nổ, thiên tai hoặc hư hỏng theo thời gian.</w:t>
      </w:r>
    </w:p>
    <w:p>
      <w:pPr>
        <w:spacing w:after="100" w:before="0"/>
        <w:ind w:firstLine="709"/>
        <w:jc w:val="left"/>
      </w:pPr>
      <w:r>
        <w:rPr>
          <w:rFonts w:ascii="Times New Roman" w:hAnsi="Times New Roman" w:eastAsia="Times New Roman"/>
          <w:b w:val="0"/>
          <w:i w:val="0"/>
          <w:sz w:val="26"/>
        </w:rPr>
        <w:t xml:space="preserve">- </w:t>
      </w:r>
      <w:r>
        <w:rPr>
          <w:rFonts w:ascii="Times New Roman" w:hAnsi="Times New Roman" w:eastAsia="Times New Roman"/>
          <w:b/>
          <w:i w:val="0"/>
          <w:sz w:val="26"/>
          <w:highlight w:val="yellow"/>
        </w:rPr>
        <w:t>Chưa đáp ứng yêu cầu chuyển đổi số:</w:t>
      </w:r>
      <w:r>
        <w:rPr>
          <w:rFonts w:ascii="Times New Roman" w:hAnsi="Times New Roman" w:eastAsia="Times New Roman"/>
          <w:b w:val="0"/>
          <w:i w:val="0"/>
          <w:sz w:val="26"/>
        </w:rPr>
        <w:t xml:space="preserve"> Hệ thống lưu trữ hiện tại chưa kết nối, chia sẻ được với các hệ thống BHXH, BHYT cấp trên; chưa đáp ứng yêu cầu tổ chức lưu trữ tài liệu điện tử theo quy định tại Luật Lưu trữ số 07/2024/QH15.</w:t>
      </w:r>
    </w:p>
    <w:p>
      <w:pPr>
        <w:spacing w:before="80" w:after="80"/>
        <w:jc w:val="left"/>
      </w:pPr>
      <w:r>
        <w:rPr>
          <w:rFonts w:ascii="Times New Roman" w:hAnsi="Times New Roman" w:eastAsia="Times New Roman"/>
          <w:b/>
          <w:i w:val="0"/>
          <w:color w:val="C00000"/>
          <w:sz w:val="26"/>
        </w:rPr>
        <w:t>2. Sự cần thiết triển khai Phần mềm Quản lý Lưu trữ Hồ sơ Điện tử</w:t>
      </w:r>
    </w:p>
    <w:p>
      <w:pPr>
        <w:spacing w:after="120" w:before="0"/>
        <w:ind w:firstLine="709"/>
        <w:jc w:val="left"/>
      </w:pPr>
      <w:r>
        <w:rPr>
          <w:rFonts w:ascii="Times New Roman" w:hAnsi="Times New Roman" w:eastAsia="Times New Roman"/>
          <w:b w:val="0"/>
          <w:i w:val="0"/>
          <w:sz w:val="26"/>
        </w:rPr>
        <w:t xml:space="preserve">- </w:t>
      </w:r>
      <w:r>
        <w:rPr>
          <w:rFonts w:ascii="Times New Roman" w:hAnsi="Times New Roman" w:eastAsia="Times New Roman"/>
          <w:b/>
          <w:i w:val="0"/>
          <w:sz w:val="26"/>
        </w:rPr>
        <w:t>Thực hiện Kế hoạch chuyển đổi số của Cục:</w:t>
      </w:r>
      <w:r>
        <w:rPr>
          <w:rFonts w:ascii="Times New Roman" w:hAnsi="Times New Roman" w:eastAsia="Times New Roman"/>
          <w:b w:val="0"/>
          <w:i w:val="0"/>
          <w:sz w:val="26"/>
        </w:rPr>
        <w:t xml:space="preserve"> Kế hoạch số 158-KH/ĐU ngày 17/3/2026 của Đảng ủy Cục Chính sách - Xã hội xác định việc ứng dụng công nghệ thông tin vào quản lý hồ sơ là một trong các nhiệm vụ trọng tâm của chuyển đổi số năm 2026. Triển khai phần mềm quản lý hồ sơ điện tử là bước đi cụ thể và thiết thực để hoàn thành nhiệm vụ này.</w:t>
      </w:r>
    </w:p>
    <w:p>
      <w:pPr>
        <w:spacing w:after="120" w:before="0"/>
        <w:ind w:firstLine="709"/>
        <w:jc w:val="left"/>
      </w:pPr>
      <w:r>
        <w:rPr>
          <w:rFonts w:ascii="Times New Roman" w:hAnsi="Times New Roman" w:eastAsia="Times New Roman"/>
          <w:b w:val="0"/>
          <w:i w:val="0"/>
          <w:sz w:val="26"/>
        </w:rPr>
        <w:t xml:space="preserve">- </w:t>
      </w:r>
      <w:r>
        <w:rPr>
          <w:rFonts w:ascii="Times New Roman" w:hAnsi="Times New Roman" w:eastAsia="Times New Roman"/>
          <w:b/>
          <w:i w:val="0"/>
          <w:sz w:val="26"/>
        </w:rPr>
        <w:t>Nâng cao năng lực, hiệu quả quản lý hồ sơ:</w:t>
      </w:r>
      <w:r>
        <w:rPr>
          <w:rFonts w:ascii="Times New Roman" w:hAnsi="Times New Roman" w:eastAsia="Times New Roman"/>
          <w:b w:val="0"/>
          <w:i w:val="0"/>
          <w:sz w:val="26"/>
        </w:rPr>
        <w:t xml:space="preserve"> Phần mềm cho phép tra cứu tức thời, quản lý tập trung toàn bộ hồ sơ BHXH, BHYT; tự động theo dõi thời hạn bảo quản; chuẩn hóa quy trình tiếp nhận, lưu trữ và khai thác hồ sơ — khắc phục triệt để các hạn chế của phương thức thủ công hiện tại.</w:t>
      </w:r>
    </w:p>
    <w:p>
      <w:pPr>
        <w:spacing w:after="120" w:before="0"/>
        <w:ind w:firstLine="709"/>
        <w:jc w:val="left"/>
      </w:pPr>
      <w:r>
        <w:rPr>
          <w:rFonts w:ascii="Times New Roman" w:hAnsi="Times New Roman" w:eastAsia="Times New Roman"/>
          <w:b w:val="0"/>
          <w:i w:val="0"/>
          <w:sz w:val="26"/>
        </w:rPr>
        <w:t xml:space="preserve">- </w:t>
      </w:r>
      <w:r>
        <w:rPr>
          <w:rFonts w:ascii="Times New Roman" w:hAnsi="Times New Roman" w:eastAsia="Times New Roman"/>
          <w:b/>
          <w:i w:val="0"/>
          <w:sz w:val="26"/>
        </w:rPr>
        <w:t>Tuân thủ pháp luật về lưu trữ điện tử:</w:t>
      </w:r>
      <w:r>
        <w:rPr>
          <w:rFonts w:ascii="Times New Roman" w:hAnsi="Times New Roman" w:eastAsia="Times New Roman"/>
          <w:b w:val="0"/>
          <w:i w:val="0"/>
          <w:sz w:val="26"/>
        </w:rPr>
        <w:t xml:space="preserve"> Luật Lưu trữ số 07/2024/QH15 và Nghị định số 97/2024/NĐ-CP yêu cầu các cơ quan nhà nước phải xây dựng cơ sở dữ liệu hồ sơ điện tử và tổ chức lưu trữ tài liệu điện tử. Đây là yêu cầu bắt buộc cần thực hiện trong năm 2026.</w:t>
      </w:r>
    </w:p>
    <w:p>
      <w:pPr>
        <w:spacing w:after="120" w:before="0"/>
        <w:ind w:firstLine="709"/>
        <w:jc w:val="left"/>
      </w:pPr>
      <w:r>
        <w:rPr>
          <w:rFonts w:ascii="Times New Roman" w:hAnsi="Times New Roman" w:eastAsia="Times New Roman"/>
          <w:b w:val="0"/>
          <w:i w:val="0"/>
          <w:sz w:val="26"/>
        </w:rPr>
        <w:t xml:space="preserve">- </w:t>
      </w:r>
      <w:r>
        <w:rPr>
          <w:rFonts w:ascii="Times New Roman" w:hAnsi="Times New Roman" w:eastAsia="Times New Roman"/>
          <w:b/>
          <w:i w:val="0"/>
          <w:sz w:val="26"/>
        </w:rPr>
        <w:t>Bảo đảm an toàn, bảo mật dữ liệu:</w:t>
      </w:r>
      <w:r>
        <w:rPr>
          <w:rFonts w:ascii="Times New Roman" w:hAnsi="Times New Roman" w:eastAsia="Times New Roman"/>
          <w:b w:val="0"/>
          <w:i w:val="0"/>
          <w:sz w:val="26"/>
        </w:rPr>
        <w:t xml:space="preserve"> Hồ sơ điện tử được phân quyền truy cập theo chức danh, ghi nhật ký thao tác và sao lưu định kỳ, loại bỏ rủi ro thất lạc dữ liệu và bảo đảm tính bảo mật trong môi trường quân sự.</w:t>
      </w:r>
    </w:p>
    <w:p>
      <w:pPr>
        <w:spacing w:before="40" w:after="80"/>
        <w:jc w:val="left"/>
      </w:pPr>
      <w:r>
        <w:rPr>
          <w:rFonts w:ascii="Times New Roman" w:hAnsi="Times New Roman" w:eastAsia="Times New Roman"/>
          <w:b/>
          <w:i w:val="0"/>
          <w:color w:val="C00000"/>
          <w:sz w:val="26"/>
        </w:rPr>
        <w:t>3. Căn cứ pháp lý</w:t>
      </w:r>
    </w:p>
    <w:p>
      <w:pPr>
        <w:spacing w:after="80" w:before="0"/>
        <w:ind w:firstLine="0"/>
        <w:jc w:val="left"/>
      </w:pPr>
      <w:r>
        <w:rPr>
          <w:rFonts w:ascii="Times New Roman" w:hAnsi="Times New Roman" w:eastAsia="Times New Roman"/>
          <w:b w:val="0"/>
          <w:i w:val="0"/>
          <w:sz w:val="26"/>
        </w:rPr>
        <w:t xml:space="preserve">- </w:t>
      </w:r>
      <w:r>
        <w:rPr>
          <w:rFonts w:ascii="Times New Roman" w:hAnsi="Times New Roman" w:eastAsia="Times New Roman"/>
          <w:b/>
          <w:i w:val="0"/>
          <w:sz w:val="26"/>
          <w:highlight w:val="yellow"/>
        </w:rPr>
        <w:t>Luật Lưu trữ số 07/2024/QH15</w:t>
      </w:r>
      <w:r>
        <w:rPr>
          <w:rFonts w:ascii="Times New Roman" w:hAnsi="Times New Roman" w:eastAsia="Times New Roman"/>
          <w:b w:val="0"/>
          <w:i w:val="0"/>
          <w:sz w:val="26"/>
        </w:rPr>
        <w:t xml:space="preserve"> ngày 21/6/2024 của Quốc hội, có hiệu lực từ ngày 01/01/2025;</w:t>
      </w:r>
    </w:p>
    <w:p>
      <w:pPr>
        <w:spacing w:after="80" w:before="0"/>
        <w:ind w:firstLine="0"/>
        <w:jc w:val="left"/>
      </w:pPr>
      <w:r>
        <w:rPr>
          <w:rFonts w:ascii="Times New Roman" w:hAnsi="Times New Roman" w:eastAsia="Times New Roman"/>
          <w:b w:val="0"/>
          <w:i w:val="0"/>
          <w:sz w:val="26"/>
        </w:rPr>
        <w:t xml:space="preserve">- </w:t>
      </w:r>
      <w:r>
        <w:rPr>
          <w:rFonts w:ascii="Times New Roman" w:hAnsi="Times New Roman" w:eastAsia="Times New Roman"/>
          <w:b/>
          <w:i w:val="0"/>
          <w:sz w:val="26"/>
          <w:highlight w:val="yellow"/>
        </w:rPr>
        <w:t>Nghị định số 97/2024/NĐ-CP</w:t>
      </w:r>
      <w:r>
        <w:rPr>
          <w:rFonts w:ascii="Times New Roman" w:hAnsi="Times New Roman" w:eastAsia="Times New Roman"/>
          <w:b w:val="0"/>
          <w:i w:val="0"/>
          <w:sz w:val="26"/>
        </w:rPr>
        <w:t xml:space="preserve"> ngày 28/7/2024 của Chính phủ hướng dẫn thi hành một số điều của Luật Lưu trữ;</w:t>
      </w:r>
    </w:p>
    <w:p>
      <w:pPr>
        <w:spacing w:after="80" w:before="0"/>
        <w:ind w:firstLine="0"/>
        <w:jc w:val="left"/>
      </w:pPr>
      <w:r>
        <w:rPr>
          <w:rFonts w:ascii="Times New Roman" w:hAnsi="Times New Roman" w:eastAsia="Times New Roman"/>
          <w:b w:val="0"/>
          <w:i w:val="0"/>
          <w:sz w:val="26"/>
        </w:rPr>
        <w:t xml:space="preserve">- </w:t>
      </w:r>
      <w:r>
        <w:rPr>
          <w:rFonts w:ascii="Times New Roman" w:hAnsi="Times New Roman" w:eastAsia="Times New Roman"/>
          <w:b/>
          <w:i w:val="0"/>
          <w:sz w:val="26"/>
          <w:highlight w:val="yellow"/>
        </w:rPr>
        <w:t>Thông tư số 03/2025/TT-BNV</w:t>
      </w:r>
      <w:r>
        <w:rPr>
          <w:rFonts w:ascii="Times New Roman" w:hAnsi="Times New Roman" w:eastAsia="Times New Roman"/>
          <w:b w:val="0"/>
          <w:i w:val="0"/>
          <w:sz w:val="26"/>
        </w:rPr>
        <w:t xml:space="preserve"> ngày 14/3/2025 của Bộ Nội vụ hướng dẫn quản lý tài liệu điện tử trong hoạt động của các cơ quan, tổ chức;</w:t>
      </w:r>
    </w:p>
    <w:p>
      <w:pPr>
        <w:spacing w:after="80" w:before="0"/>
        <w:ind w:firstLine="0"/>
        <w:jc w:val="left"/>
      </w:pPr>
      <w:r>
        <w:rPr>
          <w:rFonts w:ascii="Times New Roman" w:hAnsi="Times New Roman" w:eastAsia="Times New Roman"/>
          <w:b w:val="0"/>
          <w:i w:val="0"/>
          <w:sz w:val="26"/>
        </w:rPr>
        <w:t xml:space="preserve">- </w:t>
      </w:r>
      <w:r>
        <w:rPr>
          <w:rFonts w:ascii="Times New Roman" w:hAnsi="Times New Roman" w:eastAsia="Times New Roman"/>
          <w:b/>
          <w:i w:val="0"/>
          <w:sz w:val="26"/>
          <w:highlight w:val="yellow"/>
        </w:rPr>
        <w:t>Kế hoạch số 319-KH/QUTW</w:t>
      </w:r>
      <w:r>
        <w:rPr>
          <w:rFonts w:ascii="Times New Roman" w:hAnsi="Times New Roman" w:eastAsia="Times New Roman"/>
          <w:b w:val="0"/>
          <w:i w:val="0"/>
          <w:sz w:val="26"/>
        </w:rPr>
        <w:t xml:space="preserve"> ngày 20/01/2026 của Quân ủy Trung ương về chuyển đổi số trong các cơ quan Đảng trong Quân đội năm 2026;</w:t>
      </w:r>
    </w:p>
    <w:p>
      <w:pPr>
        <w:spacing w:after="80" w:before="0"/>
        <w:ind w:firstLine="0"/>
        <w:jc w:val="left"/>
      </w:pPr>
      <w:r>
        <w:rPr>
          <w:rFonts w:ascii="Times New Roman" w:hAnsi="Times New Roman" w:eastAsia="Times New Roman"/>
          <w:b w:val="0"/>
          <w:i w:val="0"/>
          <w:sz w:val="26"/>
        </w:rPr>
        <w:t xml:space="preserve">- </w:t>
      </w:r>
      <w:r>
        <w:rPr>
          <w:rFonts w:ascii="Times New Roman" w:hAnsi="Times New Roman" w:eastAsia="Times New Roman"/>
          <w:b/>
          <w:i w:val="0"/>
          <w:sz w:val="26"/>
          <w:highlight w:val="yellow"/>
        </w:rPr>
        <w:t>Kế hoạch số 1316-KH-BQP</w:t>
      </w:r>
      <w:r>
        <w:rPr>
          <w:rFonts w:ascii="Times New Roman" w:hAnsi="Times New Roman" w:eastAsia="Times New Roman"/>
          <w:b w:val="0"/>
          <w:i w:val="0"/>
          <w:sz w:val="26"/>
        </w:rPr>
        <w:t xml:space="preserve"> ngày 04/3/2026 của Bộ Quốc phòng về triển khai Chỉ thị số 57-CT/TW ngày 31/12/2025 của Ban Bí thư;</w:t>
      </w:r>
    </w:p>
    <w:p>
      <w:pPr>
        <w:spacing w:after="80" w:before="0"/>
        <w:ind w:firstLine="0"/>
        <w:jc w:val="left"/>
      </w:pPr>
      <w:r>
        <w:rPr>
          <w:rFonts w:ascii="Times New Roman" w:hAnsi="Times New Roman" w:eastAsia="Times New Roman"/>
          <w:b w:val="0"/>
          <w:i w:val="0"/>
          <w:sz w:val="26"/>
        </w:rPr>
        <w:t xml:space="preserve">- </w:t>
      </w:r>
      <w:r>
        <w:rPr>
          <w:rFonts w:ascii="Times New Roman" w:hAnsi="Times New Roman" w:eastAsia="Times New Roman"/>
          <w:b/>
          <w:i w:val="0"/>
          <w:sz w:val="26"/>
          <w:highlight w:val="yellow"/>
        </w:rPr>
        <w:t>Kế hoạch số 88-KH/ĐU</w:t>
      </w:r>
      <w:r>
        <w:rPr>
          <w:rFonts w:ascii="Times New Roman" w:hAnsi="Times New Roman" w:eastAsia="Times New Roman"/>
          <w:b w:val="0"/>
          <w:i w:val="0"/>
          <w:sz w:val="26"/>
        </w:rPr>
        <w:t xml:space="preserve"> ngày 04/02/2026 của Đảng ủy Cơ quan TCCT về chuyển đổi số năm 2026;</w:t>
      </w:r>
    </w:p>
    <w:p>
      <w:pPr>
        <w:spacing w:after="80" w:before="0"/>
        <w:ind w:firstLine="0"/>
        <w:jc w:val="left"/>
      </w:pPr>
      <w:r>
        <w:rPr>
          <w:rFonts w:ascii="Times New Roman" w:hAnsi="Times New Roman" w:eastAsia="Times New Roman"/>
          <w:b w:val="0"/>
          <w:i w:val="0"/>
          <w:sz w:val="26"/>
        </w:rPr>
        <w:t xml:space="preserve">- </w:t>
      </w:r>
      <w:r>
        <w:rPr>
          <w:rFonts w:ascii="Times New Roman" w:hAnsi="Times New Roman" w:eastAsia="Times New Roman"/>
          <w:b/>
          <w:i w:val="0"/>
          <w:sz w:val="26"/>
          <w:highlight w:val="yellow"/>
        </w:rPr>
        <w:t>Kế hoạch số 158-KH/ĐU</w:t>
      </w:r>
      <w:r>
        <w:rPr>
          <w:rFonts w:ascii="Times New Roman" w:hAnsi="Times New Roman" w:eastAsia="Times New Roman"/>
          <w:b w:val="0"/>
          <w:i w:val="0"/>
          <w:sz w:val="26"/>
        </w:rPr>
        <w:t xml:space="preserve"> ngày 17/3/2026 của Đảng ủy Cục Chính sách - Xã hội về kế hoạch chuyển đổi số năm 2026.</w:t>
      </w:r>
    </w:p>
    <w:p>
      <w:pPr>
        <w:spacing w:before="40" w:after="80"/>
        <w:jc w:val="left"/>
      </w:pPr>
      <w:r>
        <w:rPr>
          <w:rFonts w:ascii="Times New Roman" w:hAnsi="Times New Roman" w:eastAsia="Times New Roman"/>
          <w:b/>
          <w:i w:val="0"/>
          <w:color w:val="C00000"/>
          <w:sz w:val="26"/>
        </w:rPr>
        <w:t>4. Nội dung đề xuất</w:t>
      </w:r>
    </w:p>
    <w:p>
      <w:pPr>
        <w:spacing w:before="0" w:after="80"/>
        <w:jc w:val="left"/>
      </w:pPr>
      <w:r>
        <w:rPr>
          <w:rFonts w:ascii="Times New Roman" w:hAnsi="Times New Roman" w:eastAsia="Times New Roman"/>
          <w:b/>
          <w:i w:val="0"/>
          <w:sz w:val="26"/>
        </w:rPr>
        <w:t>4.1. Mục tiêu triển khai</w:t>
      </w:r>
    </w:p>
    <w:p>
      <w:pPr>
        <w:spacing w:before="0" w:after="80"/>
        <w:ind w:firstLine="283"/>
        <w:jc w:val="left"/>
      </w:pPr>
      <w:r>
        <w:rPr>
          <w:rFonts w:ascii="Times New Roman" w:hAnsi="Times New Roman" w:eastAsia="Times New Roman"/>
          <w:b w:val="0"/>
          <w:i w:val="0"/>
          <w:sz w:val="26"/>
        </w:rPr>
        <w:t>- Xây dựng hệ thống Phần mềm Quản lý Lưu trữ Hồ sơ Điện tử tập trung tại BHXH Quân đội, đáp ứng đầy đủ quy định của Luật Lưu trữ 2024;</w:t>
      </w:r>
    </w:p>
    <w:p>
      <w:pPr>
        <w:spacing w:before="0" w:after="80"/>
        <w:ind w:firstLine="283"/>
        <w:jc w:val="left"/>
      </w:pPr>
      <w:r>
        <w:rPr>
          <w:rFonts w:ascii="Times New Roman" w:hAnsi="Times New Roman" w:eastAsia="Times New Roman"/>
          <w:b w:val="0"/>
          <w:i w:val="0"/>
          <w:sz w:val="26"/>
        </w:rPr>
        <w:t>- Số hóa và lập index điện tử toàn bộ hồ sơ giấy hiện có, bảo đảm tra cứu, khai thác nhanh chóng, chính xác;</w:t>
      </w:r>
    </w:p>
    <w:p>
      <w:pPr>
        <w:spacing w:before="0" w:after="80"/>
        <w:ind w:firstLine="283"/>
        <w:jc w:val="left"/>
      </w:pPr>
      <w:r>
        <w:rPr>
          <w:rFonts w:ascii="Times New Roman" w:hAnsi="Times New Roman" w:eastAsia="Times New Roman"/>
          <w:b w:val="0"/>
          <w:i w:val="0"/>
          <w:sz w:val="26"/>
        </w:rPr>
        <w:t>- Chuẩn hóa toàn bộ quy trình tiếp nhận, phân loại, lưu trữ, khai thác và tiêu hủy hồ sơ theo quy định;</w:t>
      </w:r>
    </w:p>
    <w:p>
      <w:pPr>
        <w:spacing w:before="0" w:after="80"/>
        <w:ind w:firstLine="283"/>
        <w:jc w:val="left"/>
      </w:pPr>
      <w:r>
        <w:rPr>
          <w:rFonts w:ascii="Times New Roman" w:hAnsi="Times New Roman" w:eastAsia="Times New Roman"/>
          <w:b w:val="0"/>
          <w:i w:val="0"/>
          <w:sz w:val="26"/>
        </w:rPr>
        <w:t>- Tạo nền tảng dữ liệu hồ sơ điện tử phục vụ kết nối, chia sẻ với hệ thống BHXH, BHYT cấp trên trong thời gian tới.</w:t>
      </w:r>
    </w:p>
    <w:p>
      <w:pPr>
        <w:spacing w:before="0" w:after="80"/>
        <w:jc w:val="left"/>
      </w:pPr>
      <w:r>
        <w:rPr>
          <w:rFonts w:ascii="Times New Roman" w:hAnsi="Times New Roman" w:eastAsia="Times New Roman"/>
          <w:b/>
          <w:i w:val="0"/>
          <w:sz w:val="26"/>
        </w:rPr>
        <w:t>4.2. Phạm vi và đối tượng</w:t>
      </w:r>
    </w:p>
    <w:p>
      <w:pPr>
        <w:spacing w:before="0" w:after="80"/>
        <w:ind w:firstLine="709"/>
        <w:jc w:val="left"/>
      </w:pPr>
      <w:r>
        <w:rPr>
          <w:rFonts w:ascii="Times New Roman" w:hAnsi="Times New Roman" w:eastAsia="Times New Roman"/>
          <w:b w:val="0"/>
          <w:i w:val="0"/>
          <w:sz w:val="26"/>
        </w:rPr>
        <w:t>Toàn bộ hồ sơ, tài liệu đang quản lý tại Bảo hiểm xã hội Quân đội, bao gồm:</w:t>
      </w:r>
    </w:p>
    <w:p>
      <w:pPr>
        <w:spacing w:before="0" w:after="80"/>
        <w:ind w:firstLine="283"/>
        <w:jc w:val="left"/>
      </w:pPr>
      <w:r>
        <w:rPr>
          <w:rFonts w:ascii="Times New Roman" w:hAnsi="Times New Roman" w:eastAsia="Times New Roman"/>
          <w:b w:val="0"/>
          <w:i w:val="0"/>
          <w:sz w:val="26"/>
        </w:rPr>
        <w:t>- Hồ sơ nghiệp vụ BHXH: sổ BHXH, hồ sơ giải quyết chế độ ốm đau, thai sản, tai nạn lao động, hưu trí, tử tuất của sĩ quan, quân nhân chuyên nghiệp và các đối tượng trong toàn quân;</w:t>
      </w:r>
    </w:p>
    <w:p>
      <w:pPr>
        <w:spacing w:before="0" w:after="80"/>
        <w:ind w:firstLine="283"/>
        <w:jc w:val="left"/>
      </w:pPr>
      <w:r>
        <w:rPr>
          <w:rFonts w:ascii="Times New Roman" w:hAnsi="Times New Roman" w:eastAsia="Times New Roman"/>
          <w:b w:val="0"/>
          <w:i w:val="0"/>
          <w:sz w:val="26"/>
        </w:rPr>
        <w:t>- Hồ sơ nghiệp vụ BHYT: hợp đồng khám chữa bệnh BHYT, hồ sơ giám định, thanh toán, quyết toán chi phí khám chữa bệnh;</w:t>
      </w:r>
    </w:p>
    <w:p>
      <w:pPr>
        <w:spacing w:before="0" w:after="80"/>
        <w:ind w:firstLine="283"/>
        <w:jc w:val="left"/>
      </w:pPr>
      <w:r>
        <w:rPr>
          <w:rFonts w:ascii="Times New Roman" w:hAnsi="Times New Roman" w:eastAsia="Times New Roman"/>
          <w:b w:val="0"/>
          <w:i w:val="0"/>
          <w:sz w:val="26"/>
        </w:rPr>
        <w:t>- Tài liệu hành chính – pháp lý: văn bản đến, văn bản đi, quyết định, hợp đồng, biên bản làm việc và tài liệu nội bộ khác.</w:t>
      </w:r>
    </w:p>
    <w:p>
      <w:pPr>
        <w:spacing w:before="0" w:after="80"/>
        <w:jc w:val="left"/>
      </w:pPr>
      <w:r>
        <w:rPr>
          <w:rFonts w:ascii="Times New Roman" w:hAnsi="Times New Roman" w:eastAsia="Times New Roman"/>
          <w:b/>
          <w:i w:val="0"/>
          <w:sz w:val="26"/>
        </w:rPr>
        <w:t>4.3. Các nội dung triển khai chính</w:t>
      </w:r>
    </w:p>
    <w:p>
      <w:pPr>
        <w:spacing w:after="100" w:before="0"/>
        <w:ind w:left="567"/>
        <w:jc w:val="left"/>
      </w:pPr>
      <w:r>
        <w:rPr>
          <w:rFonts w:ascii="Times New Roman" w:hAnsi="Times New Roman" w:eastAsia="Times New Roman"/>
          <w:b w:val="0"/>
          <w:i w:val="0"/>
          <w:sz w:val="26"/>
        </w:rPr>
        <w:t xml:space="preserve">a) </w:t>
      </w:r>
      <w:r>
        <w:rPr>
          <w:rFonts w:ascii="Times New Roman" w:hAnsi="Times New Roman" w:eastAsia="Times New Roman"/>
          <w:b/>
          <w:i w:val="0"/>
          <w:sz w:val="26"/>
          <w:highlight w:val="cyan"/>
        </w:rPr>
        <w:t>Triển khai Phần mềm Quản lý Lưu trữ Hồ sơ Điện tử:</w:t>
      </w:r>
      <w:r>
        <w:rPr>
          <w:rFonts w:ascii="Times New Roman" w:hAnsi="Times New Roman" w:eastAsia="Times New Roman"/>
          <w:b w:val="0"/>
          <w:i w:val="0"/>
          <w:sz w:val="26"/>
        </w:rPr>
        <w:t xml:space="preserve"> Lựa chọn, tổ chức thuê phần mềm quản lý hồ sơ điện tử chuyên dụng theo quy định của Luật Đấu thầu; cài đặt, cấu hình và đào tạo cán bộ vận hành; bảo đảm đầy đủ chức năng tiếp nhận, lưu trữ, tra cứu, quản lý vòng đời và báo cáo thống kê hồ sơ.</w:t>
      </w:r>
    </w:p>
    <w:p>
      <w:pPr>
        <w:spacing w:after="100" w:before="0"/>
        <w:ind w:left="567"/>
        <w:jc w:val="left"/>
      </w:pPr>
      <w:r>
        <w:rPr>
          <w:rFonts w:ascii="Times New Roman" w:hAnsi="Times New Roman" w:eastAsia="Times New Roman"/>
          <w:b w:val="0"/>
          <w:i w:val="0"/>
          <w:sz w:val="26"/>
        </w:rPr>
        <w:t xml:space="preserve">b) </w:t>
      </w:r>
      <w:r>
        <w:rPr>
          <w:rFonts w:ascii="Times New Roman" w:hAnsi="Times New Roman" w:eastAsia="Times New Roman"/>
          <w:b/>
          <w:i w:val="0"/>
          <w:sz w:val="26"/>
          <w:highlight w:val="cyan"/>
        </w:rPr>
        <w:t>Số hóa hồ sơ giấy hiện có:</w:t>
      </w:r>
      <w:r>
        <w:rPr>
          <w:rFonts w:ascii="Times New Roman" w:hAnsi="Times New Roman" w:eastAsia="Times New Roman"/>
          <w:b w:val="0"/>
          <w:i w:val="0"/>
          <w:sz w:val="26"/>
        </w:rPr>
        <w:t xml:space="preserve"> Tổ chức scan, nhận dạng ký tự (OCR), lập index và nhập toàn bộ hồ sơ giấy vào hệ thống điện tử; ưu tiên số hóa trước các hồ sơ thường xuyên được khai thác và các tài liệu lâu năm có nguy cơ xuống cấp.</w:t>
      </w:r>
    </w:p>
    <w:p>
      <w:pPr>
        <w:spacing w:after="100" w:before="0"/>
        <w:ind w:left="567"/>
        <w:jc w:val="left"/>
      </w:pPr>
      <w:r>
        <w:rPr>
          <w:rFonts w:ascii="Times New Roman" w:hAnsi="Times New Roman" w:eastAsia="Times New Roman"/>
          <w:b w:val="0"/>
          <w:i w:val="0"/>
          <w:sz w:val="26"/>
        </w:rPr>
        <w:t xml:space="preserve">c) </w:t>
      </w:r>
      <w:r>
        <w:rPr>
          <w:rFonts w:ascii="Times New Roman" w:hAnsi="Times New Roman" w:eastAsia="Times New Roman"/>
          <w:b/>
          <w:i w:val="0"/>
          <w:sz w:val="26"/>
          <w:highlight w:val="cyan"/>
        </w:rPr>
        <w:t>Chuẩn hóa quy trình nghiệp vụ:</w:t>
      </w:r>
      <w:r>
        <w:rPr>
          <w:rFonts w:ascii="Times New Roman" w:hAnsi="Times New Roman" w:eastAsia="Times New Roman"/>
          <w:b w:val="0"/>
          <w:i w:val="0"/>
          <w:sz w:val="26"/>
        </w:rPr>
        <w:t xml:space="preserve"> Xây dựng và ban hành quy trình tiếp nhận, lưu trữ, khai thác và tiêu hủy hồ sơ điện tử tại BHXH Quân đội; phân quyền truy cập theo chức danh, phòng ban; thiết lập chế độ sao lưu dữ liệu định kỳ.</w:t>
      </w:r>
    </w:p>
    <w:p>
      <w:pPr>
        <w:spacing w:after="100" w:before="0"/>
        <w:ind w:left="567"/>
        <w:jc w:val="left"/>
      </w:pPr>
      <w:r>
        <w:rPr>
          <w:rFonts w:ascii="Times New Roman" w:hAnsi="Times New Roman" w:eastAsia="Times New Roman"/>
          <w:b w:val="0"/>
          <w:i w:val="0"/>
          <w:sz w:val="26"/>
        </w:rPr>
        <w:t xml:space="preserve">d) </w:t>
      </w:r>
      <w:r>
        <w:rPr>
          <w:rFonts w:ascii="Times New Roman" w:hAnsi="Times New Roman" w:eastAsia="Times New Roman"/>
          <w:b/>
          <w:i w:val="0"/>
          <w:sz w:val="26"/>
          <w:highlight w:val="cyan"/>
        </w:rPr>
        <w:t>Vận hành và chuyển đổi:</w:t>
      </w:r>
      <w:r>
        <w:rPr>
          <w:rFonts w:ascii="Times New Roman" w:hAnsi="Times New Roman" w:eastAsia="Times New Roman"/>
          <w:b w:val="0"/>
          <w:i w:val="0"/>
          <w:sz w:val="26"/>
        </w:rPr>
        <w:t xml:space="preserve"> Vận hành song song hệ thống giấy và hệ thống điện tử trong giai đoạn đầu (khoảng 03 tháng) để kiểm tra, hiệu chỉnh; chuyển đổi hoàn toàn sang lưu trữ điện tử đối với hồ sơ phát sinh mới từ Quý II/2027.</w:t>
      </w:r>
    </w:p>
    <w:p>
      <w:pPr>
        <w:spacing w:before="40" w:after="80"/>
        <w:jc w:val="left"/>
      </w:pPr>
      <w:r>
        <w:rPr>
          <w:rFonts w:ascii="Times New Roman" w:hAnsi="Times New Roman" w:eastAsia="Times New Roman"/>
          <w:b/>
          <w:i w:val="0"/>
          <w:sz w:val="26"/>
        </w:rPr>
        <w:t>4.4. Dự kiến kinh phí</w:t>
      </w:r>
    </w:p>
    <w:p>
      <w:pPr>
        <w:spacing w:after="80" w:before="0"/>
        <w:ind w:firstLine="709"/>
        <w:jc w:val="left"/>
      </w:pPr>
      <w:r>
        <w:rPr>
          <w:rFonts w:ascii="Times New Roman" w:hAnsi="Times New Roman" w:eastAsia="Times New Roman"/>
          <w:b w:val="0"/>
          <w:i w:val="0"/>
          <w:sz w:val="26"/>
        </w:rPr>
        <w:t xml:space="preserve">Kinh phí thực hiện bao gồm: (1) </w:t>
      </w:r>
      <w:r>
        <w:rPr>
          <w:rFonts w:ascii="Times New Roman" w:hAnsi="Times New Roman" w:eastAsia="Times New Roman"/>
          <w:b w:val="0"/>
          <w:i w:val="0"/>
          <w:sz w:val="26"/>
          <w:highlight w:val="yellow"/>
        </w:rPr>
        <w:t>chi phí thuê phần mềm quản lý hồ sơ điện tử</w:t>
      </w:r>
      <w:r>
        <w:rPr>
          <w:rFonts w:ascii="Times New Roman" w:hAnsi="Times New Roman" w:eastAsia="Times New Roman"/>
          <w:b w:val="0"/>
          <w:i w:val="0"/>
          <w:sz w:val="26"/>
        </w:rPr>
        <w:t xml:space="preserve"> (tính theo năm); (2) </w:t>
      </w:r>
      <w:r>
        <w:rPr>
          <w:rFonts w:ascii="Times New Roman" w:hAnsi="Times New Roman" w:eastAsia="Times New Roman"/>
          <w:b w:val="0"/>
          <w:i w:val="0"/>
          <w:sz w:val="26"/>
          <w:highlight w:val="yellow"/>
        </w:rPr>
        <w:t>chi phí dịch vụ số hóa hồ sơ giấy</w:t>
      </w:r>
      <w:r>
        <w:rPr>
          <w:rFonts w:ascii="Times New Roman" w:hAnsi="Times New Roman" w:eastAsia="Times New Roman"/>
          <w:b w:val="0"/>
          <w:i w:val="0"/>
          <w:sz w:val="26"/>
        </w:rPr>
        <w:t xml:space="preserve"> (thực hiện một lần). Sau khi được phê duyệt chủ trương, </w:t>
      </w:r>
      <w:r>
        <w:rPr>
          <w:rFonts w:ascii="Times New Roman" w:hAnsi="Times New Roman" w:eastAsia="Times New Roman"/>
          <w:b/>
          <w:i w:val="0"/>
          <w:sz w:val="26"/>
        </w:rPr>
        <w:t>Phòng Chế độ BHYT</w:t>
      </w:r>
      <w:r>
        <w:rPr>
          <w:rFonts w:ascii="Times New Roman" w:hAnsi="Times New Roman" w:eastAsia="Times New Roman"/>
          <w:b w:val="0"/>
          <w:i w:val="0"/>
          <w:sz w:val="26"/>
        </w:rPr>
        <w:t xml:space="preserve"> chủ trì, phối hợp </w:t>
      </w:r>
      <w:r>
        <w:rPr>
          <w:rFonts w:ascii="Times New Roman" w:hAnsi="Times New Roman" w:eastAsia="Times New Roman"/>
          <w:b/>
          <w:i w:val="0"/>
          <w:sz w:val="26"/>
        </w:rPr>
        <w:t>Phòng Tài chính - Kế toán</w:t>
      </w:r>
      <w:r>
        <w:rPr>
          <w:rFonts w:ascii="Times New Roman" w:hAnsi="Times New Roman" w:eastAsia="Times New Roman"/>
          <w:b w:val="0"/>
          <w:i w:val="0"/>
          <w:sz w:val="26"/>
        </w:rPr>
        <w:t xml:space="preserve"> tiến hành khảo sát thực tế, xác định khối lượng công việc và lập dự toán chi tiết trình Thủ trưởng Cục phê duyệt trước khi tổ chức đấu thầu lựa chọn nhà thầu theo quy định.</w:t>
      </w:r>
    </w:p>
    <w:p>
      <w:pPr>
        <w:spacing w:before="0" w:after="80"/>
        <w:ind w:firstLine="709"/>
        <w:jc w:val="left"/>
      </w:pPr>
      <w:r>
        <w:rPr>
          <w:rFonts w:ascii="Times New Roman" w:hAnsi="Times New Roman" w:eastAsia="Times New Roman"/>
          <w:b w:val="0"/>
          <w:i w:val="0"/>
          <w:sz w:val="26"/>
        </w:rPr>
        <w:t>Nguồn kinh phí: từ kinh phí hoạt động thường xuyên được giao năm 2026 hoặc các nguồn kinh phí hợp pháp khác theo quy định.</w:t>
      </w:r>
    </w:p>
    <w:p>
      <w:pPr>
        <w:spacing w:before="80" w:after="80"/>
        <w:jc w:val="left"/>
      </w:pPr>
      <w:r>
        <w:rPr>
          <w:rFonts w:ascii="Times New Roman" w:hAnsi="Times New Roman" w:eastAsia="Times New Roman"/>
          <w:b/>
          <w:i w:val="0"/>
          <w:color w:val="C00000"/>
          <w:sz w:val="26"/>
        </w:rPr>
        <w:t>5. Kiến nghị</w:t>
      </w:r>
    </w:p>
    <w:p>
      <w:pPr>
        <w:spacing w:before="0" w:after="80"/>
        <w:ind w:firstLine="709"/>
        <w:jc w:val="left"/>
      </w:pPr>
      <w:r>
        <w:rPr>
          <w:rFonts w:ascii="Times New Roman" w:hAnsi="Times New Roman" w:eastAsia="Times New Roman"/>
          <w:b w:val="0"/>
          <w:i w:val="0"/>
          <w:sz w:val="26"/>
        </w:rPr>
        <w:t>Để triển khai chuyển đổi số trong lĩnh vực quản lý lưu trữ hồ sơ, thực hiện Kế hoạch số 158-KH/ĐU của Đảng ủy Cục Chính sách - Xã hội, Phòng Chế độ BHYT kính đề nghị Thủ trưởng Cục xem xét:</w:t>
      </w:r>
    </w:p>
    <w:p>
      <w:pPr>
        <w:spacing w:after="100"/>
        <w:jc w:val="left"/>
      </w:pPr>
      <w:r>
        <w:rPr>
          <w:rFonts w:ascii="Times New Roman" w:hAnsi="Times New Roman" w:eastAsia="Times New Roman"/>
          <w:b w:val="0"/>
          <w:i w:val="0"/>
          <w:sz w:val="26"/>
        </w:rPr>
        <w:t xml:space="preserve">- </w:t>
      </w:r>
      <w:r>
        <w:rPr>
          <w:rFonts w:ascii="Times New Roman" w:hAnsi="Times New Roman" w:eastAsia="Times New Roman"/>
          <w:b/>
          <w:i w:val="0"/>
          <w:sz w:val="26"/>
          <w:highlight w:val="cyan"/>
        </w:rPr>
        <w:t>Chấp thuận chủ trương</w:t>
      </w:r>
      <w:r>
        <w:rPr>
          <w:rFonts w:ascii="Times New Roman" w:hAnsi="Times New Roman" w:eastAsia="Times New Roman"/>
          <w:b w:val="0"/>
          <w:i w:val="0"/>
          <w:sz w:val="26"/>
        </w:rPr>
        <w:t xml:space="preserve"> triển khai Phần mềm Quản lý Lưu trữ Hồ sơ Điện tử tại Bảo hiểm xã hội Quân đội.</w:t>
      </w:r>
    </w:p>
    <w:p>
      <w:pPr>
        <w:spacing w:after="100"/>
        <w:jc w:val="left"/>
      </w:pPr>
      <w:r>
        <w:rPr>
          <w:rFonts w:ascii="Times New Roman" w:hAnsi="Times New Roman" w:eastAsia="Times New Roman"/>
          <w:b w:val="0"/>
          <w:i w:val="0"/>
          <w:sz w:val="26"/>
        </w:rPr>
        <w:t xml:space="preserve">- Giao </w:t>
      </w:r>
      <w:r>
        <w:rPr>
          <w:rFonts w:ascii="Times New Roman" w:hAnsi="Times New Roman" w:eastAsia="Times New Roman"/>
          <w:b/>
          <w:i w:val="0"/>
          <w:sz w:val="26"/>
          <w:highlight w:val="cyan"/>
        </w:rPr>
        <w:t>Phòng Chế độ BHYT</w:t>
      </w:r>
      <w:r>
        <w:rPr>
          <w:rFonts w:ascii="Times New Roman" w:hAnsi="Times New Roman" w:eastAsia="Times New Roman"/>
          <w:b w:val="0"/>
          <w:i w:val="0"/>
          <w:sz w:val="26"/>
        </w:rPr>
        <w:t xml:space="preserve"> chủ trì, phối hợp Phòng Tài chính - Kế toán và Phòng Công nghệ thông tin khảo sát thực tế, xây dựng kế hoạch triển khai và dự toán chi tiết trình Thủ trưởng Cục phê duyệt trong </w:t>
      </w:r>
      <w:r>
        <w:rPr>
          <w:rFonts w:ascii="Times New Roman" w:hAnsi="Times New Roman" w:eastAsia="Times New Roman"/>
          <w:b/>
          <w:i w:val="0"/>
          <w:sz w:val="26"/>
          <w:highlight w:val="yellow"/>
        </w:rPr>
        <w:t>Quý III/2026</w:t>
      </w:r>
      <w:r>
        <w:rPr>
          <w:rFonts w:ascii="Times New Roman" w:hAnsi="Times New Roman" w:eastAsia="Times New Roman"/>
          <w:b w:val="0"/>
          <w:i w:val="0"/>
          <w:sz w:val="26"/>
        </w:rPr>
        <w:t>.</w:t>
      </w:r>
    </w:p>
    <w:p>
      <w:pPr>
        <w:spacing w:after="100"/>
        <w:jc w:val="left"/>
      </w:pPr>
      <w:r>
        <w:rPr>
          <w:rFonts w:ascii="Times New Roman" w:hAnsi="Times New Roman" w:eastAsia="Times New Roman"/>
          <w:b w:val="0"/>
          <w:i w:val="0"/>
          <w:sz w:val="26"/>
        </w:rPr>
        <w:t xml:space="preserve">- Giao </w:t>
      </w:r>
      <w:r>
        <w:rPr>
          <w:rFonts w:ascii="Times New Roman" w:hAnsi="Times New Roman" w:eastAsia="Times New Roman"/>
          <w:b/>
          <w:i w:val="0"/>
          <w:sz w:val="26"/>
          <w:highlight w:val="cyan"/>
        </w:rPr>
        <w:t>Phòng Công nghệ thông tin và Quản lý hồ sơ</w:t>
      </w:r>
      <w:r>
        <w:rPr>
          <w:rFonts w:ascii="Times New Roman" w:hAnsi="Times New Roman" w:eastAsia="Times New Roman"/>
          <w:b w:val="0"/>
          <w:i w:val="0"/>
          <w:sz w:val="26"/>
        </w:rPr>
        <w:t xml:space="preserve"> phối hợp đánh giá yêu cầu kỹ thuật, bảo mật, an toàn thông tin của giải pháp phần mềm trong môi trường quân sự trước khi tổ chức đấu thầu.</w:t>
      </w:r>
    </w:p>
    <w:p>
      <w:pPr>
        <w:spacing w:after="100"/>
        <w:jc w:val="left"/>
      </w:pPr>
      <w:r>
        <w:rPr>
          <w:rFonts w:ascii="Times New Roman" w:hAnsi="Times New Roman" w:eastAsia="Times New Roman"/>
          <w:b w:val="0"/>
          <w:i w:val="0"/>
          <w:sz w:val="26"/>
        </w:rPr>
        <w:t>- Cho phép bố trí kinh phí thực hiện từ kinh phí hoạt động thường xuyên được giao hoặc nguồn kinh phí hợp pháp khác; giao các phòng nghiệp vụ lập, thẩm định và phê duyệt dự toán chi tiết theo quy định.</w:t>
      </w:r>
    </w:p>
    <w:p>
      <w:pPr>
        <w:spacing w:after="100"/>
        <w:jc w:val="left"/>
      </w:pPr>
      <w:r>
        <w:rPr>
          <w:rFonts w:ascii="Times New Roman" w:hAnsi="Times New Roman" w:eastAsia="Times New Roman"/>
          <w:b w:val="0"/>
          <w:i w:val="0"/>
          <w:sz w:val="26"/>
        </w:rPr>
        <w:t xml:space="preserve">- Sau khi được phê duyệt, cho phép </w:t>
      </w:r>
      <w:r>
        <w:rPr>
          <w:rFonts w:ascii="Times New Roman" w:hAnsi="Times New Roman" w:eastAsia="Times New Roman"/>
          <w:b/>
          <w:i w:val="0"/>
          <w:sz w:val="26"/>
          <w:highlight w:val="cyan"/>
        </w:rPr>
        <w:t>triển khai ngay trong Quý IV/2026</w:t>
      </w:r>
      <w:r>
        <w:rPr>
          <w:rFonts w:ascii="Times New Roman" w:hAnsi="Times New Roman" w:eastAsia="Times New Roman"/>
          <w:b w:val="0"/>
          <w:i w:val="0"/>
          <w:sz w:val="26"/>
        </w:rPr>
        <w:t xml:space="preserve"> để hoàn thành nhiệm vụ chuyển đổi số theo Kế hoạch số 158-KH/ĐU.</w:t>
      </w:r>
    </w:p>
    <w:p>
      <w:pPr>
        <w:spacing w:before="160" w:after="320"/>
        <w:ind w:firstLine="709"/>
        <w:jc w:val="left"/>
      </w:pPr>
      <w:r>
        <w:rPr>
          <w:rFonts w:ascii="Times New Roman" w:hAnsi="Times New Roman" w:eastAsia="Times New Roman"/>
          <w:b w:val="0"/>
          <w:i w:val="0"/>
          <w:sz w:val="26"/>
        </w:rPr>
        <w:t>Kính trình Thủ trưởng Cục xem xét, quyết định.</w:t>
      </w:r>
    </w:p>
    <w:tbl>
      <w:tblPr>
        <w:tblStyle w:val="TableGrid"/>
        <w:tblW w:type="auto" w:w="0"/>
        <w:tblLook w:firstColumn="1" w:firstRow="1" w:lastColumn="0" w:lastRow="0" w:noHBand="0" w:noVBand="1" w:val="04A0"/>
      </w:tblPr>
      <w:tblGrid>
        <w:gridCol w:w="4535"/>
        <w:gridCol w:w="4535"/>
      </w:tblGrid>
      <w:tr>
        <w:tc>
          <w:tcPr>
            <w:tcW w:type="dxa" w:w="4252"/>
            <w:tcBorders>
              <w:top w:val="none"/>
              <w:left w:val="none"/>
              <w:bottom w:val="none"/>
              <w:right w:val="none"/>
            </w:tcBorders>
          </w:tcPr>
          <w:p>
            <w:pPr>
              <w:jc w:val="center"/>
            </w:pPr>
            <w:r>
              <w:rPr>
                <w:rFonts w:ascii="Times New Roman" w:hAnsi="Times New Roman" w:eastAsia="Times New Roman"/>
                <w:b/>
                <w:i w:val="0"/>
                <w:sz w:val="24"/>
              </w:rPr>
              <w:t>TRƯỞNG PHÒNG CHẾ ĐỘ BHYT</w:t>
            </w:r>
          </w:p>
          <w:p>
            <w:pPr>
              <w:jc w:val="center"/>
            </w:pPr>
            <w:r>
              <w:rPr>
                <w:rFonts w:ascii="Times New Roman" w:hAnsi="Times New Roman" w:eastAsia="Times New Roman"/>
                <w:b w:val="0"/>
                <w:i/>
                <w:sz w:val="22"/>
              </w:rPr>
              <w:t>(Ký, ghi rõ họ tên, đóng dấu)</w:t>
            </w:r>
          </w:p>
          <w:p/>
          <w:p/>
          <w:p/>
          <w:p/>
        </w:tc>
        <w:tc>
          <w:tcPr>
            <w:tcW w:type="dxa" w:w="4252"/>
            <w:tcBorders>
              <w:top w:val="none"/>
              <w:left w:val="none"/>
              <w:bottom w:val="none"/>
              <w:right w:val="none"/>
            </w:tcBorders>
          </w:tcPr>
          <w:p>
            <w:pPr>
              <w:jc w:val="center"/>
            </w:pPr>
            <w:r>
              <w:rPr>
                <w:rFonts w:ascii="Times New Roman" w:hAnsi="Times New Roman" w:eastAsia="Times New Roman"/>
                <w:b/>
                <w:i w:val="0"/>
                <w:sz w:val="24"/>
              </w:rPr>
              <w:t>GIÁM ĐỐC BHXH QUÂN ĐỘI</w:t>
            </w:r>
          </w:p>
          <w:p>
            <w:pPr>
              <w:jc w:val="center"/>
            </w:pPr>
            <w:r>
              <w:rPr>
                <w:rFonts w:ascii="Times New Roman" w:hAnsi="Times New Roman" w:eastAsia="Times New Roman"/>
                <w:b w:val="0"/>
                <w:i/>
                <w:sz w:val="22"/>
              </w:rPr>
              <w:t>(Ký, ghi rõ họ tên, đóng dấu)</w:t>
            </w:r>
          </w:p>
          <w:p/>
          <w:p/>
          <w:p/>
          <w:p/>
        </w:tc>
      </w:tr>
    </w:tbl>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