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535"/>
        <w:gridCol w:w="4535"/>
      </w:tblGrid>
      <w:tr>
        <w:tc>
          <w:tcPr>
            <w:tcW w:type="dxa" w:w="4535"/>
            <w:tcBorders>
              <w:top w:val="none"/>
              <w:left w:val="none"/>
              <w:bottom w:val="none"/>
              <w:right w:val="none"/>
            </w:tcBorders>
          </w:tcPr>
          <w:p>
            <w:pPr>
              <w:jc w:val="center"/>
            </w:pPr>
            <w:r>
              <w:rPr>
                <w:rFonts w:ascii="Times New Roman" w:hAnsi="Times New Roman" w:eastAsia="Times New Roman"/>
                <w:b/>
                <w:i w:val="0"/>
                <w:sz w:val="24"/>
              </w:rPr>
              <w:t>BẢO HIỂM XÃ HỘI QUÂN ĐỘI</w:t>
            </w:r>
          </w:p>
          <w:p>
            <w:pPr>
              <w:jc w:val="center"/>
            </w:pPr>
            <w:r>
              <w:rPr>
                <w:rFonts w:ascii="Times New Roman" w:hAnsi="Times New Roman" w:eastAsia="Times New Roman"/>
                <w:b/>
                <w:i w:val="0"/>
                <w:sz w:val="24"/>
              </w:rPr>
              <w:t>PHÒNG CHẾ ĐỘ BHYT</w:t>
            </w:r>
          </w:p>
          <w:p>
            <w:pPr>
              <w:jc w:val="center"/>
            </w:pPr>
            <w:r>
              <w:rPr>
                <w:rFonts w:ascii="Times New Roman" w:hAnsi="Times New Roman" w:eastAsia="Times New Roman"/>
                <w:b w:val="0"/>
                <w:i w:val="0"/>
                <w:sz w:val="24"/>
              </w:rPr>
              <w:t>─────────────</w:t>
            </w:r>
          </w:p>
          <w:p>
            <w:pPr>
              <w:jc w:val="center"/>
            </w:pPr>
            <w:r>
              <w:rPr>
                <w:rFonts w:ascii="Times New Roman" w:hAnsi="Times New Roman" w:eastAsia="Times New Roman"/>
                <w:b w:val="0"/>
                <w:i w:val="0"/>
                <w:sz w:val="24"/>
              </w:rPr>
              <w:t>Số:        -TTr-BHXHQD</w:t>
            </w:r>
          </w:p>
        </w:tc>
        <w:tc>
          <w:tcPr>
            <w:tcW w:type="dxa" w:w="4535"/>
            <w:tcBorders>
              <w:top w:val="none"/>
              <w:left w:val="none"/>
              <w:bottom w:val="none"/>
              <w:right w:val="none"/>
            </w:tcBorders>
          </w:tcPr>
          <w:p>
            <w:pPr>
              <w:jc w:val="center"/>
            </w:pPr>
            <w:r>
              <w:rPr>
                <w:rFonts w:ascii="Times New Roman" w:hAnsi="Times New Roman" w:eastAsia="Times New Roman"/>
                <w:b/>
                <w:i w:val="0"/>
                <w:sz w:val="24"/>
              </w:rPr>
              <w:t>CỘNG HÒA XÃ HỘI CHỦ NGHĨA VIỆT NAM</w:t>
            </w:r>
          </w:p>
          <w:p>
            <w:pPr>
              <w:jc w:val="center"/>
            </w:pPr>
            <w:r>
              <w:rPr>
                <w:rFonts w:ascii="Times New Roman" w:hAnsi="Times New Roman" w:eastAsia="Times New Roman"/>
                <w:b/>
                <w:i w:val="0"/>
                <w:sz w:val="24"/>
              </w:rPr>
              <w:t>Độc lập – Tự do – Hạnh phúc</w:t>
            </w:r>
          </w:p>
          <w:p>
            <w:pPr>
              <w:jc w:val="center"/>
            </w:pPr>
            <w:r>
              <w:rPr>
                <w:rFonts w:ascii="Times New Roman" w:hAnsi="Times New Roman" w:eastAsia="Times New Roman"/>
                <w:b w:val="0"/>
                <w:i w:val="0"/>
                <w:sz w:val="24"/>
              </w:rPr>
              <w:t>─────────────────────</w:t>
            </w:r>
          </w:p>
          <w:p>
            <w:pPr>
              <w:jc w:val="center"/>
            </w:pPr>
            <w:r>
              <w:rPr>
                <w:rFonts w:ascii="Times New Roman" w:hAnsi="Times New Roman" w:eastAsia="Times New Roman"/>
                <w:b w:val="0"/>
                <w:i/>
                <w:sz w:val="24"/>
              </w:rPr>
              <w:t>Hà Nội, ngày      tháng 7 năm 2026</w:t>
            </w:r>
          </w:p>
        </w:tc>
      </w:tr>
    </w:tbl>
    <w:p/>
    <w:p>
      <w:pPr>
        <w:spacing w:before="0" w:after="40"/>
        <w:jc w:val="center"/>
      </w:pPr>
      <w:r>
        <w:rPr>
          <w:rFonts w:ascii="Times New Roman" w:hAnsi="Times New Roman" w:eastAsia="Times New Roman"/>
          <w:b/>
          <w:i w:val="0"/>
          <w:sz w:val="28"/>
        </w:rPr>
        <w:t>TỜ TRÌNH</w:t>
      </w:r>
    </w:p>
    <w:p>
      <w:pPr>
        <w:spacing w:before="0" w:after="40"/>
        <w:jc w:val="center"/>
      </w:pPr>
      <w:r>
        <w:rPr>
          <w:rFonts w:ascii="Times New Roman" w:hAnsi="Times New Roman" w:eastAsia="Times New Roman"/>
          <w:b/>
          <w:i w:val="0"/>
          <w:sz w:val="26"/>
        </w:rPr>
        <w:t>V/v đề nghị chủ trương triển khai thuê giải pháp phần mềm</w:t>
      </w:r>
    </w:p>
    <w:p>
      <w:pPr>
        <w:spacing w:before="0" w:after="200"/>
        <w:jc w:val="center"/>
      </w:pPr>
      <w:r>
        <w:rPr>
          <w:rFonts w:ascii="Times New Roman" w:hAnsi="Times New Roman" w:eastAsia="Times New Roman"/>
          <w:b/>
          <w:i w:val="0"/>
          <w:sz w:val="26"/>
        </w:rPr>
        <w:t>Quản lý Lưu trữ Hồ sơ Điện tử tại Bảo hiểm xã hội Quân đội</w:t>
      </w:r>
    </w:p>
    <w:p>
      <w:pPr>
        <w:spacing w:before="0" w:after="40"/>
        <w:jc w:val="left"/>
      </w:pPr>
      <w:r>
        <w:rPr>
          <w:rFonts w:ascii="Times New Roman" w:hAnsi="Times New Roman" w:eastAsia="Times New Roman"/>
          <w:b/>
          <w:i w:val="0"/>
          <w:sz w:val="26"/>
        </w:rPr>
        <w:t>Kính gửi:</w:t>
      </w:r>
    </w:p>
    <w:p>
      <w:pPr>
        <w:spacing w:before="0" w:after="40"/>
        <w:jc w:val="left"/>
      </w:pPr>
      <w:r>
        <w:rPr>
          <w:rFonts w:ascii="Times New Roman" w:hAnsi="Times New Roman" w:eastAsia="Times New Roman"/>
          <w:b w:val="0"/>
          <w:i w:val="0"/>
          <w:sz w:val="26"/>
        </w:rPr>
        <w:t>- Thiếu tướng Đoàn Quang Hòa, Cục Trưởng Cục Chính sách - Xã hội;</w:t>
      </w:r>
    </w:p>
    <w:p>
      <w:pPr>
        <w:spacing w:before="0" w:after="200"/>
        <w:jc w:val="left"/>
      </w:pPr>
      <w:r>
        <w:rPr>
          <w:rFonts w:ascii="Times New Roman" w:hAnsi="Times New Roman" w:eastAsia="Times New Roman"/>
          <w:b w:val="0"/>
          <w:i w:val="0"/>
          <w:sz w:val="26"/>
        </w:rPr>
        <w:t>- Thiếu tướng Cao Xuân Thắng, Phó Cục Trưởng Cục Chính sách - Xã hội, Giám đốc Bảo hiểm xã hội Quân đội.</w:t>
      </w:r>
    </w:p>
    <w:p>
      <w:pPr>
        <w:spacing w:before="0" w:after="160"/>
        <w:ind w:firstLine="709"/>
        <w:jc w:val="left"/>
      </w:pPr>
      <w:r>
        <w:rPr>
          <w:rFonts w:ascii="Times New Roman" w:hAnsi="Times New Roman" w:eastAsia="Times New Roman"/>
          <w:b w:val="0"/>
          <w:i w:val="0"/>
          <w:sz w:val="26"/>
        </w:rPr>
        <w:t>Phòng Chế độ BHYT kính trình Thủ trưởng Cục xem xét, cho phép triển khai thuê giải pháp phần mềm Quản lý Lưu trữ Hồ sơ Điện tử (sau đây gọi tắt là eHoSo) nhằm số hóa và hiện đại hóa hệ thống lưu trữ hồ sơ tại Bảo hiểm xã hội Quân đội, với các nội dung cụ thể như sau:</w:t>
      </w:r>
    </w:p>
    <w:p>
      <w:pPr>
        <w:spacing w:before="0" w:after="80"/>
        <w:jc w:val="left"/>
      </w:pPr>
      <w:r>
        <w:rPr>
          <w:rFonts w:ascii="Times New Roman" w:hAnsi="Times New Roman" w:eastAsia="Times New Roman"/>
          <w:b/>
          <w:i w:val="0"/>
          <w:sz w:val="26"/>
        </w:rPr>
        <w:t>1. Hiện trạng công tác lưu trữ hồ sơ tại BHXH Quân đội</w:t>
      </w:r>
    </w:p>
    <w:p>
      <w:pPr>
        <w:spacing w:before="0" w:after="120"/>
        <w:ind w:firstLine="709"/>
        <w:jc w:val="left"/>
      </w:pPr>
      <w:r>
        <w:rPr>
          <w:rFonts w:ascii="Times New Roman" w:hAnsi="Times New Roman" w:eastAsia="Times New Roman"/>
          <w:b w:val="0"/>
          <w:i w:val="0"/>
          <w:sz w:val="26"/>
        </w:rPr>
        <w:t>Bảo hiểm xã hội Quân đội thuộc Cục Chính sách - Xã hội/TCCT đã hình thành hệ thống tổ chức quản lý lưu trữ tài liệu với cán bộ chuyên trách; đã xây dựng kho lưu trữ chuyên dụng và thực hiện chỉnh lý, sắp xếp tài liệu thành hồ sơ theo trình tự khoa học.</w:t>
      </w:r>
    </w:p>
    <w:p>
      <w:pPr>
        <w:spacing w:before="0" w:after="120"/>
        <w:ind w:firstLine="709"/>
        <w:jc w:val="left"/>
      </w:pPr>
      <w:r>
        <w:rPr>
          <w:rFonts w:ascii="Times New Roman" w:hAnsi="Times New Roman" w:eastAsia="Times New Roman"/>
          <w:b w:val="0"/>
          <w:i w:val="0"/>
          <w:sz w:val="26"/>
        </w:rPr>
        <w:t>Tuy nhiên, trong số tài liệu hiện đang lưu trữ, do trải qua thời gian tồn tại khá dài cùng với những nguyên nhân như môi trường, khí hậu và điều kiện bảo quản chưa đáp ứng yêu cầu, phần lớn tài liệu đã bị xuống cấp, một bộ phận đáng kể đã bị hư hỏng hoặc đang trong quá trình hư hỏng ở mức độ khác nhau. Tài liệu lưu trữ chủ yếu được ghi bằng phương pháp đánh máy với nhiều loại mực in khác nhau; giấy sử dụng đa dạng về chủng loại (giấy pơ-luya, giấy can...) và chất lượng không đồng đều. Một số tài liệu hình thành từ lâu đã bị ố vàng, bị oxy hóa ở mức cao, có nguy cơ bị hủy hoại từng phần hoặc hàng loạt.</w:t>
      </w:r>
    </w:p>
    <w:p>
      <w:pPr>
        <w:spacing w:before="0" w:after="120"/>
        <w:ind w:firstLine="709"/>
        <w:jc w:val="left"/>
      </w:pPr>
      <w:r>
        <w:rPr>
          <w:rFonts w:ascii="Times New Roman" w:hAnsi="Times New Roman" w:eastAsia="Times New Roman"/>
          <w:b w:val="0"/>
          <w:i w:val="0"/>
          <w:sz w:val="26"/>
        </w:rPr>
        <w:t>Ngoài ra, do những nguyên nhân khách quan, lịch sử để lại và khó khăn về kinh phí, nguồn nhân lực, công tác số hóa và lưu trữ điện tử tại BHXH Quân đội còn nhiều hạn chế: hồ sơ chưa được lập index tra cứu điện tử; việc tìm kiếm, khai thác vẫn thực hiện thủ công, mất nhiều thời gian; dữ liệu chưa được sao lưu, bảo vệ an toàn theo chuẩn lưu trữ điện tử; chưa có hệ thống quản lý vòng đời hồ sơ theo quy định của Luật Lưu trữ.</w:t>
      </w:r>
    </w:p>
    <w:p>
      <w:pPr>
        <w:spacing w:before="0" w:after="120"/>
        <w:ind w:firstLine="709"/>
        <w:jc w:val="left"/>
      </w:pPr>
      <w:r>
        <w:rPr>
          <w:rFonts w:ascii="Times New Roman" w:hAnsi="Times New Roman" w:eastAsia="Times New Roman"/>
          <w:b w:val="0"/>
          <w:i w:val="0"/>
          <w:sz w:val="26"/>
        </w:rPr>
        <w:t>Thực trạng trên đặt ra yêu cầu cấp thiết phải triển khai giải pháp phần mềm quản lý lưu trữ hồ sơ điện tử chuyên nghiệp, đáp ứng đồng thời hai mục tiêu: (1) số hóa và bảo tồn khối tài liệu hiện hữu đang có nguy cơ xuống cấp; (2) xây dựng quy trình lưu trữ điện tử chuẩn hóa cho toàn bộ hoạt động nghiệp vụ của BHXH Quân đội về sau.</w:t>
      </w:r>
    </w:p>
    <w:p>
      <w:pPr>
        <w:spacing w:before="0" w:after="80"/>
        <w:jc w:val="left"/>
      </w:pPr>
      <w:r>
        <w:rPr>
          <w:rFonts w:ascii="Times New Roman" w:hAnsi="Times New Roman" w:eastAsia="Times New Roman"/>
          <w:b/>
          <w:i w:val="0"/>
          <w:sz w:val="26"/>
        </w:rPr>
        <w:t>2. Sự cần thiết triển khai giải pháp</w:t>
      </w:r>
    </w:p>
    <w:p>
      <w:pPr>
        <w:spacing w:after="120" w:before="0"/>
        <w:ind w:firstLine="709"/>
        <w:jc w:val="left"/>
      </w:pPr>
      <w:r>
        <w:rPr>
          <w:rFonts w:ascii="Times New Roman" w:hAnsi="Times New Roman" w:eastAsia="Times New Roman"/>
          <w:b w:val="0"/>
          <w:i w:val="0"/>
          <w:sz w:val="26"/>
        </w:rPr>
        <w:t xml:space="preserve">- </w:t>
      </w:r>
      <w:r>
        <w:rPr>
          <w:rFonts w:ascii="Times New Roman" w:hAnsi="Times New Roman" w:eastAsia="Times New Roman"/>
          <w:b/>
          <w:i w:val="0"/>
          <w:sz w:val="26"/>
        </w:rPr>
        <w:t>Đáp ứng yêu cầu bắt buộc của Luật Lưu trữ 2024:</w:t>
      </w:r>
      <w:r>
        <w:rPr>
          <w:rFonts w:ascii="Times New Roman" w:hAnsi="Times New Roman" w:eastAsia="Times New Roman"/>
          <w:b w:val="0"/>
          <w:i w:val="0"/>
          <w:sz w:val="26"/>
        </w:rPr>
        <w:t xml:space="preserve"> Luật Lưu trữ số 07/2024/QH15 và Nghị định số 97/2024/NĐ-CP quy định các cơ quan nhà nước phải tổ chức lưu trữ tài liệu điện tử, xây dựng cơ sở dữ liệu hồ sơ và thực hiện kết nối, chia sẻ dữ liệu lưu trữ. Việc chậm triển khai có nguy cơ vi phạm quy định pháp luật.</w:t>
      </w:r>
    </w:p>
    <w:p>
      <w:pPr>
        <w:spacing w:after="120" w:before="0"/>
        <w:ind w:firstLine="709"/>
        <w:jc w:val="left"/>
      </w:pPr>
      <w:r>
        <w:rPr>
          <w:rFonts w:ascii="Times New Roman" w:hAnsi="Times New Roman" w:eastAsia="Times New Roman"/>
          <w:b w:val="0"/>
          <w:i w:val="0"/>
          <w:sz w:val="26"/>
        </w:rPr>
        <w:t xml:space="preserve">- </w:t>
      </w:r>
      <w:r>
        <w:rPr>
          <w:rFonts w:ascii="Times New Roman" w:hAnsi="Times New Roman" w:eastAsia="Times New Roman"/>
          <w:b/>
          <w:i w:val="0"/>
          <w:sz w:val="26"/>
        </w:rPr>
        <w:t>Bảo tồn khối tài liệu gốc đang xuống cấp:</w:t>
      </w:r>
      <w:r>
        <w:rPr>
          <w:rFonts w:ascii="Times New Roman" w:hAnsi="Times New Roman" w:eastAsia="Times New Roman"/>
          <w:b w:val="0"/>
          <w:i w:val="0"/>
          <w:sz w:val="26"/>
        </w:rPr>
        <w:t xml:space="preserve"> Việc số hóa kịp thời là biện pháp duy nhất bảo tồn thông tin từ tài liệu giấy đang trong nguy cơ hủy hoại, đặc biệt hồ sơ gốc của người tham gia BHXH, BHYT hình thành từ những năm đầu thành lập cơ quan.</w:t>
      </w:r>
    </w:p>
    <w:p>
      <w:pPr>
        <w:spacing w:after="120" w:before="0"/>
        <w:ind w:firstLine="709"/>
        <w:jc w:val="left"/>
      </w:pPr>
      <w:r>
        <w:rPr>
          <w:rFonts w:ascii="Times New Roman" w:hAnsi="Times New Roman" w:eastAsia="Times New Roman"/>
          <w:b w:val="0"/>
          <w:i w:val="0"/>
          <w:sz w:val="26"/>
        </w:rPr>
        <w:t xml:space="preserve">- </w:t>
      </w:r>
      <w:r>
        <w:rPr>
          <w:rFonts w:ascii="Times New Roman" w:hAnsi="Times New Roman" w:eastAsia="Times New Roman"/>
          <w:b/>
          <w:i w:val="0"/>
          <w:sz w:val="26"/>
        </w:rPr>
        <w:t>Nâng cao hiệu quả tra cứu, khai thác hồ sơ:</w:t>
      </w:r>
      <w:r>
        <w:rPr>
          <w:rFonts w:ascii="Times New Roman" w:hAnsi="Times New Roman" w:eastAsia="Times New Roman"/>
          <w:b w:val="0"/>
          <w:i w:val="0"/>
          <w:sz w:val="26"/>
        </w:rPr>
        <w:t xml:space="preserve"> Hệ thống điện tử cho phép tra cứu nhanh theo nhiều tiêu chí, giảm thời gian xử lý yêu cầu từ hàng giờ xuống vài giây, giảm thiểu áp lực nhân sự lưu trữ.</w:t>
      </w:r>
    </w:p>
    <w:p>
      <w:pPr>
        <w:spacing w:after="120" w:before="0"/>
        <w:ind w:firstLine="709"/>
        <w:jc w:val="left"/>
      </w:pPr>
      <w:r>
        <w:rPr>
          <w:rFonts w:ascii="Times New Roman" w:hAnsi="Times New Roman" w:eastAsia="Times New Roman"/>
          <w:b w:val="0"/>
          <w:i w:val="0"/>
          <w:sz w:val="26"/>
        </w:rPr>
        <w:t xml:space="preserve">- </w:t>
      </w:r>
      <w:r>
        <w:rPr>
          <w:rFonts w:ascii="Times New Roman" w:hAnsi="Times New Roman" w:eastAsia="Times New Roman"/>
          <w:b/>
          <w:i w:val="0"/>
          <w:sz w:val="26"/>
        </w:rPr>
        <w:t>Bảo đảm an toàn dữ liệu:</w:t>
      </w:r>
      <w:r>
        <w:rPr>
          <w:rFonts w:ascii="Times New Roman" w:hAnsi="Times New Roman" w:eastAsia="Times New Roman"/>
          <w:b w:val="0"/>
          <w:i w:val="0"/>
          <w:sz w:val="26"/>
        </w:rPr>
        <w:t xml:space="preserve"> Hồ sơ điện tử được sao lưu tự động, mã hóa và phân quyền truy cập, loại bỏ rủi ro thất lạc, hư hỏng do thiên tai, hỏa hoạn hoặc yếu tố con người.</w:t>
      </w:r>
    </w:p>
    <w:p>
      <w:pPr>
        <w:spacing w:after="120" w:before="0"/>
        <w:ind w:firstLine="709"/>
        <w:jc w:val="left"/>
      </w:pPr>
      <w:r>
        <w:rPr>
          <w:rFonts w:ascii="Times New Roman" w:hAnsi="Times New Roman" w:eastAsia="Times New Roman"/>
          <w:b w:val="0"/>
          <w:i w:val="0"/>
          <w:sz w:val="26"/>
        </w:rPr>
        <w:t xml:space="preserve">- </w:t>
      </w:r>
      <w:r>
        <w:rPr>
          <w:rFonts w:ascii="Times New Roman" w:hAnsi="Times New Roman" w:eastAsia="Times New Roman"/>
          <w:b/>
          <w:i w:val="0"/>
          <w:sz w:val="26"/>
        </w:rPr>
        <w:t>Tạo nền tảng chuyển đổi số đồng bộ:</w:t>
      </w:r>
      <w:r>
        <w:rPr>
          <w:rFonts w:ascii="Times New Roman" w:hAnsi="Times New Roman" w:eastAsia="Times New Roman"/>
          <w:b w:val="0"/>
          <w:i w:val="0"/>
          <w:sz w:val="26"/>
        </w:rPr>
        <w:t xml:space="preserve"> Phù hợp với lộ trình chuyển đổi số toàn diện của Cục Chính sách - Xã hội và Quân đội Nhân dân Việt Nam, tạo tiền đề kết nối dữ liệu với hệ thống BHXH, BHYT quốc gia.</w:t>
      </w:r>
    </w:p>
    <w:p>
      <w:pPr>
        <w:spacing w:before="0" w:after="80"/>
        <w:jc w:val="left"/>
      </w:pPr>
      <w:r>
        <w:rPr>
          <w:rFonts w:ascii="Times New Roman" w:hAnsi="Times New Roman" w:eastAsia="Times New Roman"/>
          <w:b/>
          <w:i w:val="0"/>
          <w:sz w:val="26"/>
        </w:rPr>
        <w:t>3. Căn cứ đề xuất</w:t>
      </w:r>
    </w:p>
    <w:p>
      <w:pPr>
        <w:spacing w:before="0" w:after="80"/>
        <w:ind w:firstLine="0"/>
        <w:jc w:val="left"/>
      </w:pPr>
      <w:r>
        <w:rPr>
          <w:rFonts w:ascii="Times New Roman" w:hAnsi="Times New Roman" w:eastAsia="Times New Roman"/>
          <w:b w:val="0"/>
          <w:i w:val="0"/>
          <w:sz w:val="26"/>
        </w:rPr>
        <w:t>- Luật Lưu trữ số 07/2024/QH15 ngày 21/6/2024 của Quốc hội, có hiệu lực từ ngày 01/01/2025;</w:t>
      </w:r>
    </w:p>
    <w:p>
      <w:pPr>
        <w:spacing w:before="0" w:after="80"/>
        <w:ind w:firstLine="0"/>
        <w:jc w:val="left"/>
      </w:pPr>
      <w:r>
        <w:rPr>
          <w:rFonts w:ascii="Times New Roman" w:hAnsi="Times New Roman" w:eastAsia="Times New Roman"/>
          <w:b w:val="0"/>
          <w:i w:val="0"/>
          <w:sz w:val="26"/>
        </w:rPr>
        <w:t>- Nghị định số 97/2024/NĐ-CP ngày 28/7/2024 của Chính phủ hướng dẫn thi hành một số điều của Luật Lưu trữ;</w:t>
      </w:r>
    </w:p>
    <w:p>
      <w:pPr>
        <w:spacing w:before="0" w:after="80"/>
        <w:ind w:firstLine="0"/>
        <w:jc w:val="left"/>
      </w:pPr>
      <w:r>
        <w:rPr>
          <w:rFonts w:ascii="Times New Roman" w:hAnsi="Times New Roman" w:eastAsia="Times New Roman"/>
          <w:b w:val="0"/>
          <w:i w:val="0"/>
          <w:sz w:val="26"/>
        </w:rPr>
        <w:t>- Thông tư số 03/2025/TT-BNV ngày 14/3/2025 của Bộ Nội vụ hướng dẫn quản lý tài liệu điện tử trong hoạt động của các cơ quan, tổ chức;</w:t>
      </w:r>
    </w:p>
    <w:p>
      <w:pPr>
        <w:spacing w:before="0" w:after="80"/>
        <w:ind w:firstLine="0"/>
        <w:jc w:val="left"/>
      </w:pPr>
      <w:r>
        <w:rPr>
          <w:rFonts w:ascii="Times New Roman" w:hAnsi="Times New Roman" w:eastAsia="Times New Roman"/>
          <w:b w:val="0"/>
          <w:i w:val="0"/>
          <w:sz w:val="26"/>
        </w:rPr>
        <w:t>- Kế hoạch số 319-KH/QUTW ngày 20/01/2026 của Quân ủy Trung ương về chuyển đổi số trong các cơ quan Đảng trong Quân đội năm 2026;</w:t>
      </w:r>
    </w:p>
    <w:p>
      <w:pPr>
        <w:spacing w:before="0" w:after="80"/>
        <w:ind w:firstLine="0"/>
        <w:jc w:val="left"/>
      </w:pPr>
      <w:r>
        <w:rPr>
          <w:rFonts w:ascii="Times New Roman" w:hAnsi="Times New Roman" w:eastAsia="Times New Roman"/>
          <w:b w:val="0"/>
          <w:i w:val="0"/>
          <w:sz w:val="26"/>
        </w:rPr>
        <w:t>- Kế hoạch số 1316-KH-BQP ngày 04/3/2026 của Bộ Quốc phòng về triển khai Chỉ thị số 57-CT/TW ngày 31/12/2025 của Ban Bí thư;</w:t>
      </w:r>
    </w:p>
    <w:p>
      <w:pPr>
        <w:spacing w:before="0" w:after="80"/>
        <w:ind w:firstLine="0"/>
        <w:jc w:val="left"/>
      </w:pPr>
      <w:r>
        <w:rPr>
          <w:rFonts w:ascii="Times New Roman" w:hAnsi="Times New Roman" w:eastAsia="Times New Roman"/>
          <w:b w:val="0"/>
          <w:i w:val="0"/>
          <w:sz w:val="26"/>
        </w:rPr>
        <w:t>- Kế hoạch số 88-KH/ĐU ngày 04/02/2026 của Đảng ủy Cơ quan TCCT về chuyển đổi số năm 2026;</w:t>
      </w:r>
    </w:p>
    <w:p>
      <w:pPr>
        <w:spacing w:before="0" w:after="80"/>
        <w:ind w:firstLine="0"/>
        <w:jc w:val="left"/>
      </w:pPr>
      <w:r>
        <w:rPr>
          <w:rFonts w:ascii="Times New Roman" w:hAnsi="Times New Roman" w:eastAsia="Times New Roman"/>
          <w:b w:val="0"/>
          <w:i w:val="0"/>
          <w:sz w:val="26"/>
        </w:rPr>
        <w:t>- Kế hoạch số 158-KH/ĐU ngày 17/3/2026 của Đảng ủy Cục Chính sách - Xã hội về kế hoạch chuyển đổi số năm 2026.</w:t>
      </w:r>
    </w:p>
    <w:p>
      <w:pPr>
        <w:spacing w:before="0" w:after="80"/>
        <w:jc w:val="left"/>
      </w:pPr>
      <w:r>
        <w:rPr>
          <w:rFonts w:ascii="Times New Roman" w:hAnsi="Times New Roman" w:eastAsia="Times New Roman"/>
          <w:b/>
          <w:i w:val="0"/>
          <w:sz w:val="26"/>
        </w:rPr>
        <w:t>4. Nội dung đề xuất</w:t>
      </w:r>
    </w:p>
    <w:p>
      <w:pPr>
        <w:spacing w:before="0" w:after="80"/>
        <w:jc w:val="left"/>
      </w:pPr>
      <w:r>
        <w:rPr>
          <w:rFonts w:ascii="Times New Roman" w:hAnsi="Times New Roman" w:eastAsia="Times New Roman"/>
          <w:b/>
          <w:i w:val="0"/>
          <w:sz w:val="26"/>
        </w:rPr>
        <w:t>4.1. Giới thiệu giải pháp phần mềm eHoSo</w:t>
      </w:r>
    </w:p>
    <w:p>
      <w:pPr>
        <w:spacing w:before="0" w:after="120"/>
        <w:ind w:firstLine="709"/>
        <w:jc w:val="left"/>
      </w:pPr>
      <w:r>
        <w:rPr>
          <w:rFonts w:ascii="Times New Roman" w:hAnsi="Times New Roman" w:eastAsia="Times New Roman"/>
          <w:b w:val="0"/>
          <w:i w:val="0"/>
          <w:sz w:val="26"/>
        </w:rPr>
        <w:t>Phần mềm eHoSo do Công ty TNHH Giải pháp Chuyển đổi số Nexus (địa chỉ: 256 Giải Phóng, phường Phương Liệt, TP Hà Nội; SĐT: 0843.256.256) phát triển là giải pháp quản lý lưu trữ hồ sơ điện tử toàn diện, được thiết kế phù hợp với đặc thù nghiệp vụ BHXH, BHYT, đáp ứng đầy đủ quy định của Luật Lưu trữ 2024 và Nghị định 97/2024/NĐ-CP. Các tính năng cốt lõi:</w:t>
      </w:r>
    </w:p>
    <w:p>
      <w:pPr>
        <w:spacing w:after="100" w:before="0"/>
        <w:ind w:left="567"/>
        <w:jc w:val="left"/>
      </w:pPr>
      <w:r>
        <w:rPr>
          <w:rFonts w:ascii="Times New Roman" w:hAnsi="Times New Roman" w:eastAsia="Times New Roman"/>
          <w:b w:val="0"/>
          <w:i w:val="0"/>
          <w:sz w:val="26"/>
        </w:rPr>
        <w:t xml:space="preserve">a) </w:t>
      </w:r>
      <w:r>
        <w:rPr>
          <w:rFonts w:ascii="Times New Roman" w:hAnsi="Times New Roman" w:eastAsia="Times New Roman"/>
          <w:b/>
          <w:i w:val="0"/>
          <w:sz w:val="26"/>
        </w:rPr>
        <w:t>Số hóa tài liệu giấy:</w:t>
      </w:r>
      <w:r>
        <w:rPr>
          <w:rFonts w:ascii="Times New Roman" w:hAnsi="Times New Roman" w:eastAsia="Times New Roman"/>
          <w:b w:val="0"/>
          <w:i w:val="0"/>
          <w:sz w:val="26"/>
        </w:rPr>
        <w:t xml:space="preserve"> Scan, nhận dạng ký tự quang học (OCR) và lập index điện tử toàn văn; tài liệu sau số hóa có thể tra cứu theo từ khóa, tên người, số hiệu hồ sơ.</w:t>
      </w:r>
    </w:p>
    <w:p>
      <w:pPr>
        <w:spacing w:after="100" w:before="0"/>
        <w:ind w:left="567"/>
        <w:jc w:val="left"/>
      </w:pPr>
      <w:r>
        <w:rPr>
          <w:rFonts w:ascii="Times New Roman" w:hAnsi="Times New Roman" w:eastAsia="Times New Roman"/>
          <w:b w:val="0"/>
          <w:i w:val="0"/>
          <w:sz w:val="26"/>
        </w:rPr>
        <w:t xml:space="preserve">b) </w:t>
      </w:r>
      <w:r>
        <w:rPr>
          <w:rFonts w:ascii="Times New Roman" w:hAnsi="Times New Roman" w:eastAsia="Times New Roman"/>
          <w:b/>
          <w:i w:val="0"/>
          <w:sz w:val="26"/>
        </w:rPr>
        <w:t>Quản lý vòng đời hồ sơ:</w:t>
      </w:r>
      <w:r>
        <w:rPr>
          <w:rFonts w:ascii="Times New Roman" w:hAnsi="Times New Roman" w:eastAsia="Times New Roman"/>
          <w:b w:val="0"/>
          <w:i w:val="0"/>
          <w:sz w:val="26"/>
        </w:rPr>
        <w:t xml:space="preserve"> Theo dõi toàn bộ quá trình từ tiếp nhận, lưu trữ, khai thác đến tiêu hủy theo thời hạn bảo quản quy định; cảnh báo tự động khi đến hạn xem xét.</w:t>
      </w:r>
    </w:p>
    <w:p>
      <w:pPr>
        <w:spacing w:after="100" w:before="0"/>
        <w:ind w:left="567"/>
        <w:jc w:val="left"/>
      </w:pPr>
      <w:r>
        <w:rPr>
          <w:rFonts w:ascii="Times New Roman" w:hAnsi="Times New Roman" w:eastAsia="Times New Roman"/>
          <w:b w:val="0"/>
          <w:i w:val="0"/>
          <w:sz w:val="26"/>
        </w:rPr>
        <w:t xml:space="preserve">c) </w:t>
      </w:r>
      <w:r>
        <w:rPr>
          <w:rFonts w:ascii="Times New Roman" w:hAnsi="Times New Roman" w:eastAsia="Times New Roman"/>
          <w:b/>
          <w:i w:val="0"/>
          <w:sz w:val="26"/>
        </w:rPr>
        <w:t>Tra cứu và khai thác nhanh:</w:t>
      </w:r>
      <w:r>
        <w:rPr>
          <w:rFonts w:ascii="Times New Roman" w:hAnsi="Times New Roman" w:eastAsia="Times New Roman"/>
          <w:b w:val="0"/>
          <w:i w:val="0"/>
          <w:sz w:val="26"/>
        </w:rPr>
        <w:t xml:space="preserve"> Giao diện tra cứu đa tiêu chí (tên người, số hồ sơ, năm, đơn vị, loại hồ sơ); thời gian trả kết quả dưới 3 giây; in phiếu mượn hồ sơ theo quy định.</w:t>
      </w:r>
    </w:p>
    <w:p>
      <w:pPr>
        <w:spacing w:after="100" w:before="0"/>
        <w:ind w:left="567"/>
        <w:jc w:val="left"/>
      </w:pPr>
      <w:r>
        <w:rPr>
          <w:rFonts w:ascii="Times New Roman" w:hAnsi="Times New Roman" w:eastAsia="Times New Roman"/>
          <w:b w:val="0"/>
          <w:i w:val="0"/>
          <w:sz w:val="26"/>
        </w:rPr>
        <w:t xml:space="preserve">d) </w:t>
      </w:r>
      <w:r>
        <w:rPr>
          <w:rFonts w:ascii="Times New Roman" w:hAnsi="Times New Roman" w:eastAsia="Times New Roman"/>
          <w:b/>
          <w:i w:val="0"/>
          <w:sz w:val="26"/>
        </w:rPr>
        <w:t>Bảo mật và phân quyền:</w:t>
      </w:r>
      <w:r>
        <w:rPr>
          <w:rFonts w:ascii="Times New Roman" w:hAnsi="Times New Roman" w:eastAsia="Times New Roman"/>
          <w:b w:val="0"/>
          <w:i w:val="0"/>
          <w:sz w:val="26"/>
        </w:rPr>
        <w:t xml:space="preserve"> Phân quyền truy cập theo chức danh, phòng ban; toàn bộ thao tác được ghi nhật ký kiểm toán; dữ liệu mã hóa AES-256, phù hợp yêu cầu bảo mật môi trường quân sự.</w:t>
      </w:r>
    </w:p>
    <w:p>
      <w:pPr>
        <w:spacing w:after="100" w:before="0"/>
        <w:ind w:left="567"/>
        <w:jc w:val="left"/>
      </w:pPr>
      <w:r>
        <w:rPr>
          <w:rFonts w:ascii="Times New Roman" w:hAnsi="Times New Roman" w:eastAsia="Times New Roman"/>
          <w:b w:val="0"/>
          <w:i w:val="0"/>
          <w:sz w:val="26"/>
        </w:rPr>
        <w:t xml:space="preserve">e) </w:t>
      </w:r>
      <w:r>
        <w:rPr>
          <w:rFonts w:ascii="Times New Roman" w:hAnsi="Times New Roman" w:eastAsia="Times New Roman"/>
          <w:b/>
          <w:i w:val="0"/>
          <w:sz w:val="26"/>
        </w:rPr>
        <w:t>Sao lưu tự động:</w:t>
      </w:r>
      <w:r>
        <w:rPr>
          <w:rFonts w:ascii="Times New Roman" w:hAnsi="Times New Roman" w:eastAsia="Times New Roman"/>
          <w:b w:val="0"/>
          <w:i w:val="0"/>
          <w:sz w:val="26"/>
        </w:rPr>
        <w:t xml:space="preserve"> Sao lưu theo lịch tự động, hỗ trợ lưu trữ dự phòng tại chỗ và trên máy chủ nội bộ, không sử dụng dịch vụ đám mây nước ngoài.</w:t>
      </w:r>
    </w:p>
    <w:p>
      <w:pPr>
        <w:spacing w:after="100" w:before="0"/>
        <w:ind w:left="567"/>
        <w:jc w:val="left"/>
      </w:pPr>
      <w:r>
        <w:rPr>
          <w:rFonts w:ascii="Times New Roman" w:hAnsi="Times New Roman" w:eastAsia="Times New Roman"/>
          <w:b w:val="0"/>
          <w:i w:val="0"/>
          <w:sz w:val="26"/>
        </w:rPr>
        <w:t xml:space="preserve">f) </w:t>
      </w:r>
      <w:r>
        <w:rPr>
          <w:rFonts w:ascii="Times New Roman" w:hAnsi="Times New Roman" w:eastAsia="Times New Roman"/>
          <w:b/>
          <w:i w:val="0"/>
          <w:sz w:val="26"/>
        </w:rPr>
        <w:t>Báo cáo thống kê:</w:t>
      </w:r>
      <w:r>
        <w:rPr>
          <w:rFonts w:ascii="Times New Roman" w:hAnsi="Times New Roman" w:eastAsia="Times New Roman"/>
          <w:b w:val="0"/>
          <w:i w:val="0"/>
          <w:sz w:val="26"/>
        </w:rPr>
        <w:t xml:space="preserve"> Tự động tổng hợp báo cáo tình hình lưu trữ định kỳ, phục vụ kiểm tra, thanh tra và báo cáo cấp trên.</w:t>
      </w:r>
    </w:p>
    <w:p>
      <w:pPr>
        <w:spacing w:before="0" w:after="80"/>
        <w:jc w:val="left"/>
      </w:pPr>
      <w:r>
        <w:rPr>
          <w:rFonts w:ascii="Times New Roman" w:hAnsi="Times New Roman" w:eastAsia="Times New Roman"/>
          <w:b/>
          <w:i w:val="0"/>
          <w:sz w:val="26"/>
        </w:rPr>
        <w:t>4.2. Phạm vi và đối tượng áp dụng</w:t>
      </w:r>
    </w:p>
    <w:p>
      <w:pPr>
        <w:spacing w:before="0" w:after="80"/>
        <w:ind w:firstLine="709"/>
        <w:jc w:val="left"/>
      </w:pPr>
      <w:r>
        <w:rPr>
          <w:rFonts w:ascii="Times New Roman" w:hAnsi="Times New Roman" w:eastAsia="Times New Roman"/>
          <w:b w:val="0"/>
          <w:i w:val="0"/>
          <w:sz w:val="26"/>
        </w:rPr>
        <w:t>Triển khai phần mềm eHoSo cho toàn bộ hoạt động lưu trữ hồ sơ tại Bảo hiểm xã hội Quân đội, bao gồm:</w:t>
      </w:r>
    </w:p>
    <w:p>
      <w:pPr>
        <w:spacing w:before="0" w:after="80"/>
        <w:ind w:firstLine="283"/>
        <w:jc w:val="left"/>
      </w:pPr>
      <w:r>
        <w:rPr>
          <w:rFonts w:ascii="Times New Roman" w:hAnsi="Times New Roman" w:eastAsia="Times New Roman"/>
          <w:b w:val="0"/>
          <w:i w:val="0"/>
          <w:sz w:val="26"/>
        </w:rPr>
        <w:t>- Hồ sơ nghiệp vụ BHXH: sổ BHXH, hồ sơ giải quyết chế độ ốm đau, thai sản, tai nạn lao động, hưu trí, tử tuất;</w:t>
      </w:r>
    </w:p>
    <w:p>
      <w:pPr>
        <w:spacing w:before="0" w:after="80"/>
        <w:ind w:firstLine="283"/>
        <w:jc w:val="left"/>
      </w:pPr>
      <w:r>
        <w:rPr>
          <w:rFonts w:ascii="Times New Roman" w:hAnsi="Times New Roman" w:eastAsia="Times New Roman"/>
          <w:b w:val="0"/>
          <w:i w:val="0"/>
          <w:sz w:val="26"/>
        </w:rPr>
        <w:t>- Hồ sơ nghiệp vụ BHYT: hợp đồng KCB BHYT, hồ sơ giám định, thanh toán, quyết toán chi phí KCB;</w:t>
      </w:r>
    </w:p>
    <w:p>
      <w:pPr>
        <w:spacing w:before="0" w:after="80"/>
        <w:ind w:firstLine="283"/>
        <w:jc w:val="left"/>
      </w:pPr>
      <w:r>
        <w:rPr>
          <w:rFonts w:ascii="Times New Roman" w:hAnsi="Times New Roman" w:eastAsia="Times New Roman"/>
          <w:b w:val="0"/>
          <w:i w:val="0"/>
          <w:sz w:val="26"/>
        </w:rPr>
        <w:t>- Tài liệu hành chính – pháp lý: văn bản đến, văn bản đi, quyết định, hợp đồng, biên bản làm việc;</w:t>
      </w:r>
    </w:p>
    <w:p>
      <w:pPr>
        <w:spacing w:before="0" w:after="80"/>
        <w:ind w:firstLine="283"/>
        <w:jc w:val="left"/>
      </w:pPr>
      <w:r>
        <w:rPr>
          <w:rFonts w:ascii="Times New Roman" w:hAnsi="Times New Roman" w:eastAsia="Times New Roman"/>
          <w:b w:val="0"/>
          <w:i w:val="0"/>
          <w:sz w:val="26"/>
        </w:rPr>
        <w:t>- Ưu tiên số hóa khẩn cấp các hồ sơ hình thành trước năm 2000 đang có nguy cơ hủy hoại.</w:t>
      </w:r>
    </w:p>
    <w:p>
      <w:pPr>
        <w:spacing w:before="0" w:after="80"/>
        <w:jc w:val="left"/>
      </w:pPr>
      <w:r>
        <w:rPr>
          <w:rFonts w:ascii="Times New Roman" w:hAnsi="Times New Roman" w:eastAsia="Times New Roman"/>
          <w:b/>
          <w:i w:val="0"/>
          <w:sz w:val="26"/>
        </w:rPr>
        <w:t>4.3. Quy trình thực hiện</w:t>
      </w:r>
    </w:p>
    <w:p>
      <w:pPr>
        <w:spacing w:after="100" w:before="0"/>
        <w:ind w:left="567"/>
        <w:jc w:val="left"/>
      </w:pPr>
      <w:r>
        <w:rPr>
          <w:rFonts w:ascii="Times New Roman" w:hAnsi="Times New Roman" w:eastAsia="Times New Roman"/>
          <w:b w:val="0"/>
          <w:i w:val="0"/>
          <w:sz w:val="26"/>
        </w:rPr>
        <w:t xml:space="preserve">a) </w:t>
      </w:r>
      <w:r>
        <w:rPr>
          <w:rFonts w:ascii="Times New Roman" w:hAnsi="Times New Roman" w:eastAsia="Times New Roman"/>
          <w:b/>
          <w:i w:val="0"/>
          <w:sz w:val="26"/>
        </w:rPr>
        <w:t>Khảo sát và phân loại hồ sơ:</w:t>
      </w:r>
      <w:r>
        <w:rPr>
          <w:rFonts w:ascii="Times New Roman" w:hAnsi="Times New Roman" w:eastAsia="Times New Roman"/>
          <w:b w:val="0"/>
          <w:i w:val="0"/>
          <w:sz w:val="26"/>
        </w:rPr>
        <w:t xml:space="preserve"> Công ty Nexus phối hợp với Phòng Chế độ BHYT rà soát, phân loại khối tài liệu theo thời hạn bảo quản và mức độ ưu tiên số hóa trong 15 ngày đầu triển khai.</w:t>
      </w:r>
    </w:p>
    <w:p>
      <w:pPr>
        <w:spacing w:after="100" w:before="0"/>
        <w:ind w:left="567"/>
        <w:jc w:val="left"/>
      </w:pPr>
      <w:r>
        <w:rPr>
          <w:rFonts w:ascii="Times New Roman" w:hAnsi="Times New Roman" w:eastAsia="Times New Roman"/>
          <w:b w:val="0"/>
          <w:i w:val="0"/>
          <w:sz w:val="26"/>
        </w:rPr>
        <w:t xml:space="preserve">b) </w:t>
      </w:r>
      <w:r>
        <w:rPr>
          <w:rFonts w:ascii="Times New Roman" w:hAnsi="Times New Roman" w:eastAsia="Times New Roman"/>
          <w:b/>
          <w:i w:val="0"/>
          <w:sz w:val="26"/>
        </w:rPr>
        <w:t>Số hóa tài liệu ưu tiên:</w:t>
      </w:r>
      <w:r>
        <w:rPr>
          <w:rFonts w:ascii="Times New Roman" w:hAnsi="Times New Roman" w:eastAsia="Times New Roman"/>
          <w:b w:val="0"/>
          <w:i w:val="0"/>
          <w:sz w:val="26"/>
        </w:rPr>
        <w:t xml:space="preserve"> Scan toàn bộ hồ sơ giấy, nhận dạng OCR, kiểm tra chất lượng và nhập vào hệ thống eHoSo với đầy đủ metadata theo quy định của Luật Lưu trữ.</w:t>
      </w:r>
    </w:p>
    <w:p>
      <w:pPr>
        <w:spacing w:after="100" w:before="0"/>
        <w:ind w:left="567"/>
        <w:jc w:val="left"/>
      </w:pPr>
      <w:r>
        <w:rPr>
          <w:rFonts w:ascii="Times New Roman" w:hAnsi="Times New Roman" w:eastAsia="Times New Roman"/>
          <w:b w:val="0"/>
          <w:i w:val="0"/>
          <w:sz w:val="26"/>
        </w:rPr>
        <w:t xml:space="preserve">c) </w:t>
      </w:r>
      <w:r>
        <w:rPr>
          <w:rFonts w:ascii="Times New Roman" w:hAnsi="Times New Roman" w:eastAsia="Times New Roman"/>
          <w:b/>
          <w:i w:val="0"/>
          <w:sz w:val="26"/>
        </w:rPr>
        <w:t>Vận hành song song:</w:t>
      </w:r>
      <w:r>
        <w:rPr>
          <w:rFonts w:ascii="Times New Roman" w:hAnsi="Times New Roman" w:eastAsia="Times New Roman"/>
          <w:b w:val="0"/>
          <w:i w:val="0"/>
          <w:sz w:val="26"/>
        </w:rPr>
        <w:t xml:space="preserve"> Trong 03 tháng đầu vận hành song song hệ thống giấy và điện tử để kiểm tra, hiệu chỉnh và đào tạo cán bộ sử dụng thành thạo.</w:t>
      </w:r>
    </w:p>
    <w:p>
      <w:pPr>
        <w:spacing w:after="100" w:before="0"/>
        <w:ind w:left="567"/>
        <w:jc w:val="left"/>
      </w:pPr>
      <w:r>
        <w:rPr>
          <w:rFonts w:ascii="Times New Roman" w:hAnsi="Times New Roman" w:eastAsia="Times New Roman"/>
          <w:b w:val="0"/>
          <w:i w:val="0"/>
          <w:sz w:val="26"/>
        </w:rPr>
        <w:t xml:space="preserve">d) </w:t>
      </w:r>
      <w:r>
        <w:rPr>
          <w:rFonts w:ascii="Times New Roman" w:hAnsi="Times New Roman" w:eastAsia="Times New Roman"/>
          <w:b/>
          <w:i w:val="0"/>
          <w:sz w:val="26"/>
        </w:rPr>
        <w:t>Chuyển đổi hoàn toàn:</w:t>
      </w:r>
      <w:r>
        <w:rPr>
          <w:rFonts w:ascii="Times New Roman" w:hAnsi="Times New Roman" w:eastAsia="Times New Roman"/>
          <w:b w:val="0"/>
          <w:i w:val="0"/>
          <w:sz w:val="26"/>
        </w:rPr>
        <w:t xml:space="preserve"> Từ tháng thứ 4, toàn bộ hồ sơ mới được tạo lập, lưu trữ và khai thác trên eHoSo; hồ sơ giấy bảo quản theo quy định hiện hành.</w:t>
      </w:r>
    </w:p>
    <w:p>
      <w:pPr>
        <w:spacing w:after="100" w:before="0"/>
        <w:ind w:left="567"/>
        <w:jc w:val="left"/>
      </w:pPr>
      <w:r>
        <w:rPr>
          <w:rFonts w:ascii="Times New Roman" w:hAnsi="Times New Roman" w:eastAsia="Times New Roman"/>
          <w:b w:val="0"/>
          <w:i w:val="0"/>
          <w:sz w:val="26"/>
        </w:rPr>
        <w:t xml:space="preserve">e) </w:t>
      </w:r>
      <w:r>
        <w:rPr>
          <w:rFonts w:ascii="Times New Roman" w:hAnsi="Times New Roman" w:eastAsia="Times New Roman"/>
          <w:b/>
          <w:i w:val="0"/>
          <w:sz w:val="26"/>
        </w:rPr>
        <w:t>Bảo trì và hỗ trợ kỹ thuật:</w:t>
      </w:r>
      <w:r>
        <w:rPr>
          <w:rFonts w:ascii="Times New Roman" w:hAnsi="Times New Roman" w:eastAsia="Times New Roman"/>
          <w:b w:val="0"/>
          <w:i w:val="0"/>
          <w:sz w:val="26"/>
        </w:rPr>
        <w:t xml:space="preserve"> Công ty Nexus hỗ trợ 24/7 trong thời gian thuê bao; tự động cập nhật phần mềm miễn phí khi có thay đổi về quy định pháp luật.</w:t>
      </w:r>
    </w:p>
    <w:p>
      <w:pPr>
        <w:spacing w:before="0" w:after="80"/>
        <w:jc w:val="left"/>
      </w:pPr>
      <w:r>
        <w:rPr>
          <w:rFonts w:ascii="Times New Roman" w:hAnsi="Times New Roman" w:eastAsia="Times New Roman"/>
          <w:b/>
          <w:i w:val="0"/>
          <w:sz w:val="26"/>
        </w:rPr>
        <w:t>4.4. Đề xuất kinh phí thực hiện</w:t>
      </w:r>
    </w:p>
    <w:p>
      <w:pPr>
        <w:spacing w:before="0" w:after="80"/>
        <w:ind w:firstLine="709"/>
        <w:jc w:val="left"/>
      </w:pPr>
      <w:r>
        <w:rPr>
          <w:rFonts w:ascii="Times New Roman" w:hAnsi="Times New Roman" w:eastAsia="Times New Roman"/>
          <w:b w:val="0"/>
          <w:i w:val="0"/>
          <w:sz w:val="26"/>
        </w:rPr>
        <w:t>Theo báo giá sơ bộ của Công ty TNHH Giải pháp Chuyển đổi số Nexus, chi phí thuê phần mềm eHoSo dự kiến:</w:t>
      </w:r>
    </w:p>
    <w:tbl>
      <w:tblPr>
        <w:tblStyle w:val="TableGrid"/>
        <w:tblW w:type="auto" w:w="0"/>
        <w:tblLook w:firstColumn="1" w:firstRow="1" w:lastColumn="0" w:lastRow="0" w:noHBand="0" w:noVBand="1" w:val="04A0"/>
      </w:tblPr>
      <w:tblGrid>
        <w:gridCol w:w="3024"/>
        <w:gridCol w:w="3024"/>
        <w:gridCol w:w="3024"/>
      </w:tblGrid>
      <w:tr>
        <w:tc>
          <w:tcPr>
            <w:tcW w:type="dxa" w:w="4252"/>
            <w:shd w:val="clear" w:color="auto" w:fill="1F3864"/>
          </w:tcPr>
          <w:p>
            <w:pPr>
              <w:jc w:val="center"/>
            </w:pPr>
            <w:r>
              <w:rPr>
                <w:rFonts w:ascii="Times New Roman" w:hAnsi="Times New Roman" w:eastAsia="Times New Roman"/>
                <w:b/>
                <w:i w:val="0"/>
                <w:color w:val="FFFFFF"/>
                <w:sz w:val="22"/>
              </w:rPr>
              <w:t>Hạng mục</w:t>
            </w:r>
          </w:p>
        </w:tc>
        <w:tc>
          <w:tcPr>
            <w:tcW w:type="dxa" w:w="2835"/>
            <w:shd w:val="clear" w:color="auto" w:fill="1F3864"/>
          </w:tcPr>
          <w:p>
            <w:pPr>
              <w:jc w:val="center"/>
            </w:pPr>
            <w:r>
              <w:rPr>
                <w:rFonts w:ascii="Times New Roman" w:hAnsi="Times New Roman" w:eastAsia="Times New Roman"/>
                <w:b/>
                <w:i w:val="0"/>
                <w:color w:val="FFFFFF"/>
                <w:sz w:val="22"/>
              </w:rPr>
              <w:t>Đơn giá dự kiến (đồng/năm)</w:t>
            </w:r>
          </w:p>
        </w:tc>
        <w:tc>
          <w:tcPr>
            <w:tcW w:type="dxa" w:w="2551"/>
            <w:shd w:val="clear" w:color="auto" w:fill="1F3864"/>
          </w:tcPr>
          <w:p>
            <w:pPr>
              <w:jc w:val="center"/>
            </w:pPr>
            <w:r>
              <w:rPr>
                <w:rFonts w:ascii="Times New Roman" w:hAnsi="Times New Roman" w:eastAsia="Times New Roman"/>
                <w:b/>
                <w:i w:val="0"/>
                <w:color w:val="FFFFFF"/>
                <w:sz w:val="22"/>
              </w:rPr>
              <w:t>Ghi chú</w:t>
            </w:r>
          </w:p>
        </w:tc>
      </w:tr>
      <w:tr>
        <w:tc>
          <w:tcPr>
            <w:tcW w:type="dxa" w:w="4252"/>
            <w:shd w:val="clear" w:color="auto" w:fill="DDEEFF"/>
          </w:tcPr>
          <w:p>
            <w:pPr>
              <w:jc w:val="left"/>
            </w:pPr>
            <w:r>
              <w:rPr>
                <w:rFonts w:ascii="Times New Roman" w:hAnsi="Times New Roman" w:eastAsia="Times New Roman"/>
                <w:b w:val="0"/>
                <w:i w:val="0"/>
                <w:sz w:val="22"/>
              </w:rPr>
              <w:t>Phí thuê phần mềm eHoSo (bản quyền năm)</w:t>
            </w:r>
          </w:p>
        </w:tc>
        <w:tc>
          <w:tcPr>
            <w:tcW w:type="dxa" w:w="2835"/>
            <w:shd w:val="clear" w:color="auto" w:fill="DDEEFF"/>
          </w:tcPr>
          <w:p>
            <w:pPr>
              <w:jc w:val="center"/>
            </w:pPr>
            <w:r>
              <w:rPr>
                <w:rFonts w:ascii="Times New Roman" w:hAnsi="Times New Roman" w:eastAsia="Times New Roman"/>
                <w:b w:val="0"/>
                <w:i w:val="0"/>
                <w:sz w:val="22"/>
              </w:rPr>
              <w:t>18.000.000</w:t>
            </w:r>
          </w:p>
        </w:tc>
        <w:tc>
          <w:tcPr>
            <w:tcW w:type="dxa" w:w="2551"/>
            <w:shd w:val="clear" w:color="auto" w:fill="DDEEFF"/>
          </w:tcPr>
          <w:p>
            <w:pPr>
              <w:jc w:val="center"/>
            </w:pPr>
            <w:r>
              <w:rPr>
                <w:rFonts w:ascii="Times New Roman" w:hAnsi="Times New Roman" w:eastAsia="Times New Roman"/>
                <w:b w:val="0"/>
                <w:i w:val="0"/>
                <w:sz w:val="22"/>
              </w:rPr>
              <w:t>Không giới hạn người dùng nội bộ</w:t>
            </w:r>
          </w:p>
        </w:tc>
      </w:tr>
      <w:tr>
        <w:tc>
          <w:tcPr>
            <w:tcW w:type="dxa" w:w="4252"/>
            <w:shd w:val="clear" w:color="auto" w:fill="E2EFDA"/>
          </w:tcPr>
          <w:p>
            <w:pPr>
              <w:jc w:val="left"/>
            </w:pPr>
            <w:r>
              <w:rPr>
                <w:rFonts w:ascii="Times New Roman" w:hAnsi="Times New Roman" w:eastAsia="Times New Roman"/>
                <w:b w:val="0"/>
                <w:i w:val="0"/>
                <w:sz w:val="22"/>
              </w:rPr>
              <w:t>Dịch vụ số hóa tài liệu giấy (1 lần)</w:t>
            </w:r>
          </w:p>
        </w:tc>
        <w:tc>
          <w:tcPr>
            <w:tcW w:type="dxa" w:w="2835"/>
            <w:shd w:val="clear" w:color="auto" w:fill="E2EFDA"/>
          </w:tcPr>
          <w:p>
            <w:pPr>
              <w:jc w:val="center"/>
            </w:pPr>
            <w:r>
              <w:rPr>
                <w:rFonts w:ascii="Times New Roman" w:hAnsi="Times New Roman" w:eastAsia="Times New Roman"/>
                <w:b w:val="0"/>
                <w:i w:val="0"/>
                <w:sz w:val="22"/>
              </w:rPr>
              <w:t>45.000.000 – 80.000.000</w:t>
            </w:r>
          </w:p>
        </w:tc>
        <w:tc>
          <w:tcPr>
            <w:tcW w:type="dxa" w:w="2551"/>
            <w:shd w:val="clear" w:color="auto" w:fill="E2EFDA"/>
          </w:tcPr>
          <w:p>
            <w:pPr>
              <w:jc w:val="center"/>
            </w:pPr>
            <w:r>
              <w:rPr>
                <w:rFonts w:ascii="Times New Roman" w:hAnsi="Times New Roman" w:eastAsia="Times New Roman"/>
                <w:b w:val="0"/>
                <w:i w:val="0"/>
                <w:sz w:val="22"/>
              </w:rPr>
              <w:t>Tùy khối lượng sau khảo sát thực tế</w:t>
            </w:r>
          </w:p>
        </w:tc>
      </w:tr>
      <w:tr>
        <w:tc>
          <w:tcPr>
            <w:tcW w:type="dxa" w:w="4252"/>
            <w:shd w:val="clear" w:color="auto" w:fill="FFF2CC"/>
          </w:tcPr>
          <w:p>
            <w:pPr>
              <w:jc w:val="left"/>
            </w:pPr>
            <w:r>
              <w:rPr>
                <w:rFonts w:ascii="Times New Roman" w:hAnsi="Times New Roman" w:eastAsia="Times New Roman"/>
                <w:b w:val="0"/>
                <w:i w:val="0"/>
                <w:sz w:val="22"/>
              </w:rPr>
              <w:t>Đào tạo cán bộ sử dụng hệ thống</w:t>
            </w:r>
          </w:p>
        </w:tc>
        <w:tc>
          <w:tcPr>
            <w:tcW w:type="dxa" w:w="2835"/>
            <w:shd w:val="clear" w:color="auto" w:fill="FFF2CC"/>
          </w:tcPr>
          <w:p>
            <w:pPr>
              <w:jc w:val="center"/>
            </w:pPr>
            <w:r>
              <w:rPr>
                <w:rFonts w:ascii="Times New Roman" w:hAnsi="Times New Roman" w:eastAsia="Times New Roman"/>
                <w:b w:val="0"/>
                <w:i w:val="0"/>
                <w:sz w:val="22"/>
              </w:rPr>
              <w:t>5.000.000</w:t>
            </w:r>
          </w:p>
        </w:tc>
        <w:tc>
          <w:tcPr>
            <w:tcW w:type="dxa" w:w="2551"/>
            <w:shd w:val="clear" w:color="auto" w:fill="FFF2CC"/>
          </w:tcPr>
          <w:p>
            <w:pPr>
              <w:jc w:val="center"/>
            </w:pPr>
            <w:r>
              <w:rPr>
                <w:rFonts w:ascii="Times New Roman" w:hAnsi="Times New Roman" w:eastAsia="Times New Roman"/>
                <w:b w:val="0"/>
                <w:i w:val="0"/>
                <w:sz w:val="22"/>
              </w:rPr>
              <w:t>Trọn gói, tổ chức tại cơ quan</w:t>
            </w:r>
          </w:p>
        </w:tc>
      </w:tr>
      <w:tr>
        <w:tc>
          <w:tcPr>
            <w:tcW w:type="dxa" w:w="4252"/>
            <w:shd w:val="clear" w:color="auto" w:fill="DDEEFF"/>
          </w:tcPr>
          <w:p>
            <w:pPr>
              <w:jc w:val="left"/>
            </w:pPr>
            <w:r>
              <w:rPr>
                <w:rFonts w:ascii="Times New Roman" w:hAnsi="Times New Roman" w:eastAsia="Times New Roman"/>
                <w:b w:val="0"/>
                <w:i w:val="0"/>
                <w:sz w:val="22"/>
              </w:rPr>
              <w:t>Bảo trì, hỗ trợ kỹ thuật hàng năm</w:t>
            </w:r>
          </w:p>
        </w:tc>
        <w:tc>
          <w:tcPr>
            <w:tcW w:type="dxa" w:w="2835"/>
            <w:shd w:val="clear" w:color="auto" w:fill="DDEEFF"/>
          </w:tcPr>
          <w:p>
            <w:pPr>
              <w:jc w:val="center"/>
            </w:pPr>
            <w:r>
              <w:rPr>
                <w:rFonts w:ascii="Times New Roman" w:hAnsi="Times New Roman" w:eastAsia="Times New Roman"/>
                <w:b w:val="0"/>
                <w:i w:val="0"/>
                <w:sz w:val="22"/>
              </w:rPr>
              <w:t>Bao gồm trong phí thuê</w:t>
            </w:r>
          </w:p>
        </w:tc>
        <w:tc>
          <w:tcPr>
            <w:tcW w:type="dxa" w:w="2551"/>
            <w:shd w:val="clear" w:color="auto" w:fill="DDEEFF"/>
          </w:tcPr>
          <w:p>
            <w:pPr>
              <w:jc w:val="center"/>
            </w:pPr>
            <w:r>
              <w:rPr>
                <w:rFonts w:ascii="Times New Roman" w:hAnsi="Times New Roman" w:eastAsia="Times New Roman"/>
                <w:b w:val="0"/>
                <w:i w:val="0"/>
                <w:sz w:val="22"/>
              </w:rPr>
              <w:t>Hỗ trợ 24/7, cập nhật miễn phí</w:t>
            </w:r>
          </w:p>
        </w:tc>
      </w:tr>
    </w:tbl>
    <w:p>
      <w:pPr>
        <w:spacing w:before="120" w:after="120"/>
        <w:ind w:firstLine="709"/>
        <w:jc w:val="left"/>
      </w:pPr>
      <w:r>
        <w:rPr>
          <w:rFonts w:ascii="Times New Roman" w:hAnsi="Times New Roman" w:eastAsia="Times New Roman"/>
          <w:b w:val="0"/>
          <w:i w:val="0"/>
          <w:sz w:val="26"/>
        </w:rPr>
        <w:t>Sau khi Thủ trưởng Cục chấp thuận chủ trương, Phòng Chế độ BHYT phối hợp Phòng Tài chính - Kế toán tiến hành khảo sát thực tế, lập dự toán chi tiết và trình phê duyệt theo đúng quy trình tài chính hiện hành.</w:t>
      </w:r>
    </w:p>
    <w:p>
      <w:pPr>
        <w:spacing w:before="0" w:after="80"/>
        <w:jc w:val="left"/>
      </w:pPr>
      <w:r>
        <w:rPr>
          <w:rFonts w:ascii="Times New Roman" w:hAnsi="Times New Roman" w:eastAsia="Times New Roman"/>
          <w:b/>
          <w:i w:val="0"/>
          <w:sz w:val="26"/>
        </w:rPr>
        <w:t>4.5. Hiệu quả mang lại khi triển khai</w:t>
      </w:r>
    </w:p>
    <w:p>
      <w:pPr>
        <w:spacing w:after="100" w:before="0"/>
        <w:ind w:left="567"/>
        <w:jc w:val="left"/>
      </w:pPr>
      <w:r>
        <w:rPr>
          <w:rFonts w:ascii="Times New Roman" w:hAnsi="Times New Roman" w:eastAsia="Times New Roman"/>
          <w:b w:val="0"/>
          <w:i w:val="0"/>
          <w:sz w:val="26"/>
        </w:rPr>
        <w:t xml:space="preserve">a) </w:t>
      </w:r>
      <w:r>
        <w:rPr>
          <w:rFonts w:ascii="Times New Roman" w:hAnsi="Times New Roman" w:eastAsia="Times New Roman"/>
          <w:b/>
          <w:i w:val="0"/>
          <w:sz w:val="26"/>
        </w:rPr>
        <w:t>Tuân thủ pháp luật về lưu trữ:</w:t>
      </w:r>
      <w:r>
        <w:rPr>
          <w:rFonts w:ascii="Times New Roman" w:hAnsi="Times New Roman" w:eastAsia="Times New Roman"/>
          <w:b w:val="0"/>
          <w:i w:val="0"/>
          <w:sz w:val="26"/>
        </w:rPr>
        <w:t xml:space="preserve"> Đáp ứng đầy đủ quy định Luật Lưu trữ 2024; loại bỏ nguy cơ vi phạm trong kiểm tra, thanh tra lưu trữ.</w:t>
      </w:r>
    </w:p>
    <w:p>
      <w:pPr>
        <w:spacing w:after="100" w:before="0"/>
        <w:ind w:left="567"/>
        <w:jc w:val="left"/>
      </w:pPr>
      <w:r>
        <w:rPr>
          <w:rFonts w:ascii="Times New Roman" w:hAnsi="Times New Roman" w:eastAsia="Times New Roman"/>
          <w:b w:val="0"/>
          <w:i w:val="0"/>
          <w:sz w:val="26"/>
        </w:rPr>
        <w:t xml:space="preserve">b) </w:t>
      </w:r>
      <w:r>
        <w:rPr>
          <w:rFonts w:ascii="Times New Roman" w:hAnsi="Times New Roman" w:eastAsia="Times New Roman"/>
          <w:b/>
          <w:i w:val="0"/>
          <w:sz w:val="26"/>
        </w:rPr>
        <w:t>Bảo tồn vĩnh viễn tài liệu lịch sử:</w:t>
      </w:r>
      <w:r>
        <w:rPr>
          <w:rFonts w:ascii="Times New Roman" w:hAnsi="Times New Roman" w:eastAsia="Times New Roman"/>
          <w:b w:val="0"/>
          <w:i w:val="0"/>
          <w:sz w:val="26"/>
        </w:rPr>
        <w:t xml:space="preserve"> Hồ sơ gốc đang xuống cấp được số hóa, lưu trữ an toàn với nhiều bản sao lưu dự phòng; nguy cơ thất thoát, hủy hoại được loại bỏ triệt để.</w:t>
      </w:r>
    </w:p>
    <w:p>
      <w:pPr>
        <w:spacing w:after="100" w:before="0"/>
        <w:ind w:left="567"/>
        <w:jc w:val="left"/>
      </w:pPr>
      <w:r>
        <w:rPr>
          <w:rFonts w:ascii="Times New Roman" w:hAnsi="Times New Roman" w:eastAsia="Times New Roman"/>
          <w:b w:val="0"/>
          <w:i w:val="0"/>
          <w:sz w:val="26"/>
        </w:rPr>
        <w:t xml:space="preserve">c) </w:t>
      </w:r>
      <w:r>
        <w:rPr>
          <w:rFonts w:ascii="Times New Roman" w:hAnsi="Times New Roman" w:eastAsia="Times New Roman"/>
          <w:b/>
          <w:i w:val="0"/>
          <w:sz w:val="26"/>
        </w:rPr>
        <w:t>Tăng hiệu quả, giảm thời gian xử lý:</w:t>
      </w:r>
      <w:r>
        <w:rPr>
          <w:rFonts w:ascii="Times New Roman" w:hAnsi="Times New Roman" w:eastAsia="Times New Roman"/>
          <w:b w:val="0"/>
          <w:i w:val="0"/>
          <w:sz w:val="26"/>
        </w:rPr>
        <w:t xml:space="preserve"> Tra cứu hồ sơ giảm từ hàng giờ xuống vài giây; tiết kiệm nhân lực và không gian lưu trữ vật lý theo lộ trình.</w:t>
      </w:r>
    </w:p>
    <w:p>
      <w:pPr>
        <w:spacing w:after="100" w:before="0"/>
        <w:ind w:left="567"/>
        <w:jc w:val="left"/>
      </w:pPr>
      <w:r>
        <w:rPr>
          <w:rFonts w:ascii="Times New Roman" w:hAnsi="Times New Roman" w:eastAsia="Times New Roman"/>
          <w:b w:val="0"/>
          <w:i w:val="0"/>
          <w:sz w:val="26"/>
        </w:rPr>
        <w:t xml:space="preserve">d) </w:t>
      </w:r>
      <w:r>
        <w:rPr>
          <w:rFonts w:ascii="Times New Roman" w:hAnsi="Times New Roman" w:eastAsia="Times New Roman"/>
          <w:b/>
          <w:i w:val="0"/>
          <w:sz w:val="26"/>
        </w:rPr>
        <w:t>Bảo đảm an toàn thông tin:</w:t>
      </w:r>
      <w:r>
        <w:rPr>
          <w:rFonts w:ascii="Times New Roman" w:hAnsi="Times New Roman" w:eastAsia="Times New Roman"/>
          <w:b w:val="0"/>
          <w:i w:val="0"/>
          <w:sz w:val="26"/>
        </w:rPr>
        <w:t xml:space="preserve"> Dữ liệu lưu trữ nội bộ, mã hóa, phân quyền chặt chẽ; không phụ thuộc dịch vụ nước ngoài; phù hợp tiêu chí bảo mật môi trường quân sự.</w:t>
      </w:r>
    </w:p>
    <w:p>
      <w:pPr>
        <w:spacing w:after="100" w:before="0"/>
        <w:ind w:left="567"/>
        <w:jc w:val="left"/>
      </w:pPr>
      <w:r>
        <w:rPr>
          <w:rFonts w:ascii="Times New Roman" w:hAnsi="Times New Roman" w:eastAsia="Times New Roman"/>
          <w:b w:val="0"/>
          <w:i w:val="0"/>
          <w:sz w:val="26"/>
        </w:rPr>
        <w:t xml:space="preserve">e) </w:t>
      </w:r>
      <w:r>
        <w:rPr>
          <w:rFonts w:ascii="Times New Roman" w:hAnsi="Times New Roman" w:eastAsia="Times New Roman"/>
          <w:b/>
          <w:i w:val="0"/>
          <w:sz w:val="26"/>
        </w:rPr>
        <w:t>Nền tảng chuyển đổi số toàn diện:</w:t>
      </w:r>
      <w:r>
        <w:rPr>
          <w:rFonts w:ascii="Times New Roman" w:hAnsi="Times New Roman" w:eastAsia="Times New Roman"/>
          <w:b w:val="0"/>
          <w:i w:val="0"/>
          <w:sz w:val="26"/>
        </w:rPr>
        <w:t xml:space="preserve"> Hình thành kho dữ liệu số hóa tập trung, tạo tiền đề kết nối hệ thống BHXH quốc gia và cơ sở dữ liệu dùng chung của Bộ Quốc phòng.</w:t>
      </w:r>
    </w:p>
    <w:p>
      <w:pPr>
        <w:spacing w:before="120" w:after="80"/>
        <w:jc w:val="left"/>
      </w:pPr>
      <w:r>
        <w:rPr>
          <w:rFonts w:ascii="Times New Roman" w:hAnsi="Times New Roman" w:eastAsia="Times New Roman"/>
          <w:b/>
          <w:i w:val="0"/>
          <w:sz w:val="26"/>
        </w:rPr>
        <w:t>5. Kiến nghị</w:t>
      </w:r>
    </w:p>
    <w:p>
      <w:pPr>
        <w:spacing w:before="0" w:after="80"/>
        <w:ind w:firstLine="709"/>
        <w:jc w:val="left"/>
      </w:pPr>
      <w:r>
        <w:rPr>
          <w:rFonts w:ascii="Times New Roman" w:hAnsi="Times New Roman" w:eastAsia="Times New Roman"/>
          <w:b w:val="0"/>
          <w:i w:val="0"/>
          <w:sz w:val="26"/>
        </w:rPr>
        <w:t>Để bảo đảm công tác lưu trữ hồ sơ tại BHXH Quân đội đáp ứng yêu cầu của Luật Lưu trữ 2024, bảo tồn kịp thời khối tài liệu lịch sử đang xuống cấp và tạo nền tảng chuyển đổi số bền vững, Phòng Chế độ BHYT kính đề nghị Thủ trưởng Cục xem xét:</w:t>
      </w:r>
    </w:p>
    <w:p>
      <w:pPr>
        <w:spacing w:before="0" w:after="100"/>
        <w:ind w:firstLine="0"/>
        <w:jc w:val="left"/>
      </w:pPr>
      <w:r>
        <w:rPr>
          <w:rFonts w:ascii="Times New Roman" w:hAnsi="Times New Roman" w:eastAsia="Times New Roman"/>
          <w:b w:val="0"/>
          <w:i w:val="0"/>
          <w:sz w:val="26"/>
        </w:rPr>
        <w:t>- Chấp thuận chủ trương cho phép triển khai thuê phần mềm Quản lý Lưu trữ Hồ sơ Điện tử (eHoSo) của Công ty TNHH Giải pháp Chuyển đổi số Nexus tại Bảo hiểm xã hội Quân đội.</w:t>
      </w:r>
    </w:p>
    <w:p>
      <w:pPr>
        <w:spacing w:before="0" w:after="100"/>
        <w:ind w:firstLine="0"/>
        <w:jc w:val="left"/>
      </w:pPr>
      <w:r>
        <w:rPr>
          <w:rFonts w:ascii="Times New Roman" w:hAnsi="Times New Roman" w:eastAsia="Times New Roman"/>
          <w:b w:val="0"/>
          <w:i w:val="0"/>
          <w:sz w:val="26"/>
        </w:rPr>
        <w:t>- Giao Phòng Chế độ BHYT chủ trì, phối hợp Phòng Tài chính - Kế toán và Phòng Công nghệ thông tin tiến hành khảo sát thực tế, lập dự toán chi tiết, kế hoạch triển khai và đánh giá giải pháp kỹ thuật, trình Thủ trưởng Cục phê duyệt trong Quý III/2026.</w:t>
      </w:r>
    </w:p>
    <w:p>
      <w:pPr>
        <w:spacing w:before="0" w:after="100"/>
        <w:ind w:firstLine="0"/>
        <w:jc w:val="left"/>
      </w:pPr>
      <w:r>
        <w:rPr>
          <w:rFonts w:ascii="Times New Roman" w:hAnsi="Times New Roman" w:eastAsia="Times New Roman"/>
          <w:b w:val="0"/>
          <w:i w:val="0"/>
          <w:sz w:val="26"/>
        </w:rPr>
        <w:t>- Giao Phòng Công nghệ thông tin và Quản lý hồ sơ phối hợp đánh giá yêu cầu bảo mật, an toàn thông tin của giải pháp eHoSo trong môi trường quân sự trước khi ký hợp đồng.</w:t>
      </w:r>
    </w:p>
    <w:p>
      <w:pPr>
        <w:spacing w:before="0" w:after="100"/>
        <w:ind w:firstLine="0"/>
        <w:jc w:val="left"/>
      </w:pPr>
      <w:r>
        <w:rPr>
          <w:rFonts w:ascii="Times New Roman" w:hAnsi="Times New Roman" w:eastAsia="Times New Roman"/>
          <w:b w:val="0"/>
          <w:i w:val="0"/>
          <w:sz w:val="26"/>
        </w:rPr>
        <w:t>- Cho phép bố trí kinh phí từ nguồn kinh phí được giao hoặc nguồn hợp pháp khác; giao các phòng nghiệp vụ lập, thẩm định và phê duyệt dự toán chi tiết theo quy định hiện hành.</w:t>
      </w:r>
    </w:p>
    <w:p>
      <w:pPr>
        <w:spacing w:before="0" w:after="100"/>
        <w:ind w:firstLine="0"/>
        <w:jc w:val="left"/>
      </w:pPr>
      <w:r>
        <w:rPr>
          <w:rFonts w:ascii="Times New Roman" w:hAnsi="Times New Roman" w:eastAsia="Times New Roman"/>
          <w:b w:val="0"/>
          <w:i w:val="0"/>
          <w:sz w:val="26"/>
        </w:rPr>
        <w:t>- Sau khi được phê duyệt, cho phép triển khai ngay trong Quý IV/2026 để tuân thủ quy định Luật Lưu trữ 2024 từ đầu năm 2027.</w:t>
      </w:r>
    </w:p>
    <w:p>
      <w:pPr>
        <w:spacing w:before="160" w:after="320"/>
        <w:ind w:firstLine="709"/>
        <w:jc w:val="left"/>
      </w:pPr>
      <w:r>
        <w:rPr>
          <w:rFonts w:ascii="Times New Roman" w:hAnsi="Times New Roman" w:eastAsia="Times New Roman"/>
          <w:b w:val="0"/>
          <w:i w:val="0"/>
          <w:sz w:val="26"/>
        </w:rPr>
        <w:t>Kính trình Thủ trưởng Cục xem xét, quyết định.</w:t>
      </w:r>
    </w:p>
    <w:tbl>
      <w:tblPr>
        <w:tblStyle w:val="TableGrid"/>
        <w:tblW w:type="auto" w:w="0"/>
        <w:tblLook w:firstColumn="1" w:firstRow="1" w:lastColumn="0" w:lastRow="0" w:noHBand="0" w:noVBand="1" w:val="04A0"/>
      </w:tblPr>
      <w:tblGrid>
        <w:gridCol w:w="4535"/>
        <w:gridCol w:w="4535"/>
      </w:tblGrid>
      <w:tr>
        <w:tc>
          <w:tcPr>
            <w:tcW w:type="dxa" w:w="4252"/>
            <w:tcBorders>
              <w:top w:val="none"/>
              <w:left w:val="none"/>
              <w:bottom w:val="none"/>
              <w:right w:val="none"/>
            </w:tcBorders>
          </w:tcPr>
          <w:p>
            <w:pPr>
              <w:jc w:val="center"/>
            </w:pPr>
            <w:r>
              <w:rPr>
                <w:rFonts w:ascii="Times New Roman" w:hAnsi="Times New Roman" w:eastAsia="Times New Roman"/>
                <w:b/>
                <w:i w:val="0"/>
                <w:sz w:val="24"/>
              </w:rPr>
              <w:t>TRƯỞNG PHÒNG CHẾ ĐỘ BHYT</w:t>
            </w:r>
          </w:p>
          <w:p>
            <w:pPr>
              <w:jc w:val="center"/>
            </w:pPr>
            <w:r>
              <w:rPr>
                <w:rFonts w:ascii="Times New Roman" w:hAnsi="Times New Roman" w:eastAsia="Times New Roman"/>
                <w:b w:val="0"/>
                <w:i/>
                <w:sz w:val="22"/>
              </w:rPr>
              <w:t>(Ký, ghi rõ họ tên, đóng dấu)</w:t>
            </w:r>
          </w:p>
          <w:p/>
          <w:p/>
          <w:p/>
          <w:p/>
        </w:tc>
        <w:tc>
          <w:tcPr>
            <w:tcW w:type="dxa" w:w="4252"/>
            <w:tcBorders>
              <w:top w:val="none"/>
              <w:left w:val="none"/>
              <w:bottom w:val="none"/>
              <w:right w:val="none"/>
            </w:tcBorders>
          </w:tcPr>
          <w:p>
            <w:pPr>
              <w:jc w:val="center"/>
            </w:pPr>
            <w:r>
              <w:rPr>
                <w:rFonts w:ascii="Times New Roman" w:hAnsi="Times New Roman" w:eastAsia="Times New Roman"/>
                <w:b/>
                <w:i w:val="0"/>
                <w:sz w:val="24"/>
              </w:rPr>
              <w:t>GIÁM ĐỐC BHXH QUÂN ĐỘI</w:t>
            </w:r>
          </w:p>
          <w:p>
            <w:pPr>
              <w:jc w:val="center"/>
            </w:pPr>
            <w:r>
              <w:rPr>
                <w:rFonts w:ascii="Times New Roman" w:hAnsi="Times New Roman" w:eastAsia="Times New Roman"/>
                <w:b w:val="0"/>
                <w:i/>
                <w:sz w:val="22"/>
              </w:rPr>
              <w:t>(Ký, ghi rõ họ tên, đóng dấu)</w:t>
            </w:r>
          </w:p>
          <w:p/>
          <w:p/>
          <w:p/>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