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eastAsia="Times New Roman"/>
          <w:b/>
          <w:i w:val="0"/>
          <w:sz w:val="28"/>
        </w:rPr>
        <w:t>BÁO CÁO THÀNH TÍCH</w:t>
      </w:r>
    </w:p>
    <w:p>
      <w:pPr>
        <w:spacing w:before="0" w:after="200"/>
        <w:jc w:val="center"/>
      </w:pPr>
      <w:r>
        <w:rPr>
          <w:rFonts w:ascii="Times New Roman" w:hAnsi="Times New Roman" w:eastAsia="Times New Roman"/>
          <w:b/>
          <w:i w:val="0"/>
          <w:sz w:val="26"/>
        </w:rPr>
        <w:t>ĐỀ NGHỊ TẶNG BẰNG KHEN CỦA THỦ TƯỚNG CHÍNH PHỦ</w:t>
      </w:r>
    </w:p>
    <w:p>
      <w:pPr>
        <w:spacing w:before="0" w:after="80"/>
        <w:jc w:val="left"/>
      </w:pPr>
      <w:r>
        <w:rPr>
          <w:rFonts w:ascii="Times New Roman" w:hAnsi="Times New Roman" w:eastAsia="Times New Roman"/>
          <w:b/>
          <w:i w:val="0"/>
          <w:sz w:val="26"/>
        </w:rPr>
        <w:t>I. SƠ LƯỢC LÝ LỊCH</w:t>
      </w:r>
    </w:p>
    <w:p>
      <w:pPr>
        <w:spacing w:before="0" w:after="60"/>
        <w:jc w:val="left"/>
      </w:pPr>
      <w:r>
        <w:rPr>
          <w:rFonts w:ascii="Times New Roman" w:hAnsi="Times New Roman" w:eastAsia="Times New Roman"/>
          <w:b w:val="0"/>
          <w:i w:val="0"/>
          <w:sz w:val="26"/>
        </w:rPr>
        <w:t>- Họ tên: Tô Hồng Lương</w:t>
      </w:r>
    </w:p>
    <w:p>
      <w:pPr>
        <w:spacing w:before="0" w:after="60"/>
        <w:jc w:val="left"/>
      </w:pPr>
      <w:r>
        <w:rPr>
          <w:rFonts w:ascii="Times New Roman" w:hAnsi="Times New Roman" w:eastAsia="Times New Roman"/>
          <w:b w:val="0"/>
          <w:i w:val="0"/>
          <w:sz w:val="26"/>
        </w:rPr>
        <w:t>- Sinh ngày, tháng, năm: 03/01/1978</w:t>
        <w:tab/>
        <w:tab/>
        <w:t>Giới tính: Nam</w:t>
      </w:r>
    </w:p>
    <w:p>
      <w:pPr>
        <w:spacing w:before="0" w:after="60"/>
        <w:jc w:val="left"/>
      </w:pPr>
      <w:r>
        <w:rPr>
          <w:rFonts w:ascii="Times New Roman" w:hAnsi="Times New Roman" w:eastAsia="Times New Roman"/>
          <w:b w:val="0"/>
          <w:i w:val="0"/>
          <w:sz w:val="26"/>
        </w:rPr>
        <w:t>- Quê quán: xã Tiền Hải, tỉnh Hưng Yên</w:t>
      </w:r>
    </w:p>
    <w:p>
      <w:pPr>
        <w:spacing w:before="0" w:after="60"/>
        <w:jc w:val="left"/>
      </w:pPr>
      <w:r>
        <w:rPr>
          <w:rFonts w:ascii="Times New Roman" w:hAnsi="Times New Roman" w:eastAsia="Times New Roman"/>
          <w:b w:val="0"/>
          <w:i w:val="0"/>
          <w:sz w:val="26"/>
        </w:rPr>
        <w:t>- Nơi thường trú: Căn hộ 607 toà P1, chung cư 360 Giải Phóng, phường Phương Liệt, thành phố Hà Nội.</w:t>
      </w:r>
    </w:p>
    <w:p>
      <w:pPr>
        <w:spacing w:before="0" w:after="60"/>
        <w:jc w:val="left"/>
      </w:pPr>
      <w:r>
        <w:rPr>
          <w:rFonts w:ascii="Times New Roman" w:hAnsi="Times New Roman" w:eastAsia="Times New Roman"/>
          <w:b w:val="0"/>
          <w:i w:val="0"/>
          <w:sz w:val="26"/>
        </w:rPr>
        <w:t>- Đơn vị công tác: Trung tâm Kiểm soát thanh toán bảo hiểm xã hội, bảo hiểm y tế điện tử thuộc Bảo hiểm xã hội Việt Nam.</w:t>
      </w:r>
    </w:p>
    <w:p>
      <w:pPr>
        <w:spacing w:before="0" w:after="60"/>
        <w:jc w:val="left"/>
      </w:pPr>
      <w:r>
        <w:rPr>
          <w:rFonts w:ascii="Times New Roman" w:hAnsi="Times New Roman" w:eastAsia="Times New Roman"/>
          <w:b w:val="0"/>
          <w:i w:val="0"/>
          <w:sz w:val="26"/>
        </w:rPr>
        <w:t>- Chức vụ (Đảng, chính quyền, đoàn thể): Chi ủy viên Chi bộ (nhiệm kỳ 2025-2030), Phó Giám đốc, Uỷ viên Ban Chấp hành Công đoàn BHXH Việt Nam, Chủ tịch Ban Chấp hành Công đoàn Trung tâm Kiểm soát thanh toán BHXH, BHYT điện tử (nhiệm kỳ 2025-2030).</w:t>
      </w:r>
    </w:p>
    <w:p>
      <w:pPr>
        <w:spacing w:before="0" w:after="60"/>
        <w:jc w:val="left"/>
      </w:pPr>
      <w:r>
        <w:rPr>
          <w:rFonts w:ascii="Times New Roman" w:hAnsi="Times New Roman" w:eastAsia="Times New Roman"/>
          <w:b w:val="0"/>
          <w:i w:val="0"/>
          <w:sz w:val="26"/>
        </w:rPr>
        <w:t>- Trình độ lý luận chính trị, chuyên môn, nghiệp vụ: Cao cấp lý luận chính trị, quản trị kinh doanh.</w:t>
      </w:r>
    </w:p>
    <w:p>
      <w:pPr>
        <w:spacing w:before="0" w:after="60"/>
        <w:jc w:val="left"/>
      </w:pPr>
      <w:r>
        <w:rPr>
          <w:rFonts w:ascii="Times New Roman" w:hAnsi="Times New Roman" w:eastAsia="Times New Roman"/>
          <w:b w:val="0"/>
          <w:i w:val="0"/>
          <w:sz w:val="26"/>
        </w:rPr>
        <w:t>- Học hàm, học vị, danh hiệu, giải thưởng: Thạc sỹ quản trị kinh doanh.</w:t>
      </w:r>
    </w:p>
    <w:p/>
    <w:p>
      <w:pPr>
        <w:spacing w:before="0" w:after="120"/>
        <w:jc w:val="left"/>
      </w:pPr>
      <w:r>
        <w:rPr>
          <w:rFonts w:ascii="Times New Roman" w:hAnsi="Times New Roman" w:eastAsia="Times New Roman"/>
          <w:b/>
          <w:i w:val="0"/>
          <w:sz w:val="26"/>
        </w:rPr>
        <w:t>II. THÀNH TÍCH ĐẠT ĐƯỢC</w:t>
      </w:r>
    </w:p>
    <w:p>
      <w:pPr>
        <w:spacing w:after="120" w:before="0"/>
        <w:ind w:firstLine="709"/>
        <w:jc w:val="left"/>
      </w:pPr>
      <w:r>
        <w:rPr>
          <w:rFonts w:ascii="Times New Roman" w:hAnsi="Times New Roman" w:eastAsia="Times New Roman"/>
          <w:b w:val="0"/>
          <w:i w:val="0"/>
          <w:sz w:val="26"/>
          <w:highlight w:val="yellow"/>
        </w:rPr>
        <w:t xml:space="preserve">Với hơn 10 năm trực tiếp kiến tạo và dẫn dắt công cuộc chuyển đổi số trong lĩnh vực giám định, kiểm soát thanh toán chi phí khám bệnh, chữa bệnh BHYT tại Bảo hiểm xã hội Việt Nam, </w:t>
      </w:r>
      <w:r>
        <w:rPr>
          <w:rFonts w:ascii="Times New Roman" w:hAnsi="Times New Roman" w:eastAsia="Times New Roman"/>
          <w:b w:val="0"/>
          <w:i w:val="0"/>
          <w:sz w:val="26"/>
          <w:highlight w:val="yellow"/>
        </w:rPr>
        <w:t xml:space="preserve">bản thân tôi đã đóng góp quan trọng vào việc xây dựng và vận hành Hệ thống thông tin giám định BHYT quốc gia — một trong những hệ thống dữ liệu y tế điện tử lớn nhất Việt Nam, </w:t>
      </w:r>
      <w:r>
        <w:rPr>
          <w:rFonts w:ascii="Times New Roman" w:hAnsi="Times New Roman" w:eastAsia="Times New Roman"/>
          <w:b w:val="0"/>
          <w:i w:val="0"/>
          <w:sz w:val="26"/>
          <w:highlight w:val="yellow"/>
        </w:rPr>
        <w:t>được Tổ chức An sinh xã hội quốc tế (ISSA) và Hiệp hội An sinh xã hội châu Á - Thái Bình Dương (ASSA) ghi nhận và trao giải thưởng về đổi mới, ứng dụng công nghệ.</w:t>
      </w:r>
    </w:p>
    <w:p>
      <w:pPr>
        <w:spacing w:before="0" w:after="80"/>
        <w:jc w:val="left"/>
      </w:pPr>
      <w:r>
        <w:rPr>
          <w:rFonts w:ascii="Times New Roman" w:hAnsi="Times New Roman" w:eastAsia="Times New Roman"/>
          <w:b/>
          <w:i w:val="0"/>
          <w:color w:val="C00000"/>
          <w:sz w:val="26"/>
        </w:rPr>
        <w:t>Quyền hạn, nhiệm vụ được giao hoặc đảm nhận từ năm 2016 đến tháng 5/2026</w:t>
      </w:r>
    </w:p>
    <w:p>
      <w:pPr>
        <w:spacing w:after="100" w:before="0"/>
        <w:ind w:firstLine="0"/>
        <w:jc w:val="left"/>
      </w:pPr>
      <w:r>
        <w:rPr>
          <w:rFonts w:ascii="Times New Roman" w:hAnsi="Times New Roman" w:eastAsia="Times New Roman"/>
          <w:b/>
          <w:i w:val="0"/>
          <w:sz w:val="26"/>
        </w:rPr>
        <w:t xml:space="preserve">1.1. Từ tháng 01/2016 đến tháng 3/2017: </w:t>
      </w:r>
      <w:r>
        <w:rPr>
          <w:rFonts w:ascii="Times New Roman" w:hAnsi="Times New Roman" w:eastAsia="Times New Roman"/>
          <w:b w:val="0"/>
          <w:i w:val="0"/>
          <w:sz w:val="26"/>
        </w:rPr>
        <w:t xml:space="preserve">là Phó Trưởng phòng, phòng Quản lý dữ liệu, Ban Thực hiện chính sách BHYT, Bảo hiểm xã hội Việt Nam: </w:t>
      </w:r>
      <w:r>
        <w:rPr>
          <w:rFonts w:ascii="Times New Roman" w:hAnsi="Times New Roman" w:eastAsia="Times New Roman"/>
          <w:b w:val="0"/>
          <w:i w:val="0"/>
          <w:sz w:val="26"/>
        </w:rPr>
        <w:t>Tham mưu lãnh đạo đơn vị triển khai ứng dụng CNTT trong công tác quản lý, giám định chi phí KCB BHYT; hướng dẫn nghiệp vụ, hỗ trợ các địa phương ứng dụng CNTT quản lý dữ liệu chi phí KCB BHYT trên phạm vi toàn quốc; trực tiếp tổng hợp, phân tích dữ liệu chi phí KCB BHYT; xây dựng và triển khai phần mềm Thống kê chi phí KCB BHYT (Phân hệ HMS); tham gia xây dựng danh mục dùng chung, chuẩn cấu trúc dữ liệu và là thành viên xây dựng Hệ thống BHXH Việt Nam theo Quyết định số 583/QĐ-BHXH ngày 12/5/2015.</w:t>
      </w:r>
    </w:p>
    <w:p>
      <w:pPr>
        <w:spacing w:after="100" w:before="0"/>
        <w:ind w:firstLine="0"/>
        <w:jc w:val="left"/>
      </w:pPr>
      <w:r>
        <w:rPr>
          <w:rFonts w:ascii="Times New Roman" w:hAnsi="Times New Roman" w:eastAsia="Times New Roman"/>
          <w:b/>
          <w:i w:val="0"/>
          <w:sz w:val="26"/>
        </w:rPr>
        <w:t xml:space="preserve">1.2. Từ tháng 4/2017 đến tháng 01/2022: </w:t>
      </w:r>
      <w:r>
        <w:rPr>
          <w:rFonts w:ascii="Times New Roman" w:hAnsi="Times New Roman" w:eastAsia="Times New Roman"/>
          <w:b w:val="0"/>
          <w:i w:val="0"/>
          <w:sz w:val="26"/>
        </w:rPr>
        <w:t xml:space="preserve">là Trưởng phòng phòng Tổng hợp - Thanh toán đa tuyến (từ tháng 10/2020 đổi tên thành Phòng Quản lý, vận hành Hệ thống giám định điện tử), Trung tâm Giám định BHYT và Thanh toán đa tuyến khu vực phía Bắc (sau là Trung tâm Giám định bảo hiểm y tế và Thanh toán đa tuyến, BHXH Việt Nam): </w:t>
      </w:r>
      <w:r>
        <w:rPr>
          <w:rFonts w:ascii="Times New Roman" w:hAnsi="Times New Roman" w:eastAsia="Times New Roman"/>
          <w:b w:val="0"/>
          <w:i w:val="0"/>
          <w:sz w:val="26"/>
        </w:rPr>
        <w:t>Tham mưu và trực tiếp quản lý, vận hành Hệ thống thông tin giám định BHYT; xây dựng, phát triển các phần mềm nghiệp vụ và liên thông dữ liệu giữa các phần mềm trong toàn Ngành; chuẩn hóa danh mục dùng chung; xây dựng và triển khai bộ Quy tắc giám định điện tử; thực hiện thẩm định, thông báo thanh toán đa tuyến ngoại tỉnh; xây dựng các chuyên đề giám định BHYT; trực tiếp đào tạo, hướng dẫn giám định viên toàn quốc.</w:t>
      </w:r>
    </w:p>
    <w:p>
      <w:pPr>
        <w:spacing w:after="100" w:before="0"/>
        <w:ind w:firstLine="0"/>
        <w:jc w:val="left"/>
      </w:pPr>
      <w:r>
        <w:rPr>
          <w:rFonts w:ascii="Times New Roman" w:hAnsi="Times New Roman" w:eastAsia="Times New Roman"/>
          <w:b/>
          <w:i w:val="0"/>
          <w:sz w:val="26"/>
        </w:rPr>
        <w:t xml:space="preserve">1.3. Từ tháng 02/2022 đến tháng 02/2025: </w:t>
      </w:r>
      <w:r>
        <w:rPr>
          <w:rFonts w:ascii="Times New Roman" w:hAnsi="Times New Roman" w:eastAsia="Times New Roman"/>
          <w:b w:val="0"/>
          <w:i w:val="0"/>
          <w:sz w:val="26"/>
        </w:rPr>
        <w:t xml:space="preserve">là Phó Giám đốc Trung tâm Giám định bảo hiểm y tế và Thanh toán đa tuyến, Bảo hiểm xã hội Việt Nam: </w:t>
      </w:r>
      <w:r>
        <w:rPr>
          <w:rFonts w:ascii="Times New Roman" w:hAnsi="Times New Roman" w:eastAsia="Times New Roman"/>
          <w:b w:val="0"/>
          <w:i w:val="0"/>
          <w:sz w:val="26"/>
        </w:rPr>
        <w:t>Giúp Giám đốc trực tiếp phụ trách và chỉ đạo công tác quản lý, vận hành các phần mềm thuộc Hệ thống thông tin giám định BHYT; chuyển đổi số, an toàn thông tin, xây dựng cơ sở dữ liệu quốc gia về BHYT; chỉ đạo toàn bộ hoạt động thanh toán đa tuyến; nghiên cứu, ứng dụng AI trong giám định điện tử.</w:t>
      </w:r>
    </w:p>
    <w:p>
      <w:pPr>
        <w:spacing w:after="160" w:before="0"/>
        <w:ind w:firstLine="0"/>
        <w:jc w:val="left"/>
      </w:pPr>
      <w:r>
        <w:rPr>
          <w:rFonts w:ascii="Times New Roman" w:hAnsi="Times New Roman" w:eastAsia="Times New Roman"/>
          <w:b/>
          <w:i w:val="0"/>
          <w:sz w:val="26"/>
        </w:rPr>
        <w:t xml:space="preserve">1.4. Từ tháng 3/2025 đến tháng 5/2026: </w:t>
      </w:r>
      <w:r>
        <w:rPr>
          <w:rFonts w:ascii="Times New Roman" w:hAnsi="Times New Roman" w:eastAsia="Times New Roman"/>
          <w:b w:val="0"/>
          <w:i w:val="0"/>
          <w:sz w:val="26"/>
        </w:rPr>
        <w:t xml:space="preserve">là Chi ủy viên, Phó Giám đốc Trung tâm Kiểm soát thanh toán bảo hiểm xã hội, bảo hiểm y tế điện tử thuộc Bảo hiểm xã hội Việt Nam - Bộ Tài chính (theo Quyết định số 798/QĐ-BTC ngày 01/3/2025 của Bộ trưởng Bộ Tài chính): </w:t>
      </w:r>
      <w:r>
        <w:rPr>
          <w:rFonts w:ascii="Times New Roman" w:hAnsi="Times New Roman" w:eastAsia="Times New Roman"/>
          <w:b w:val="0"/>
          <w:i w:val="0"/>
          <w:sz w:val="26"/>
        </w:rPr>
        <w:t>Giúp Giám đốc Trung tâm quản lý, phân tích nghiệp vụ giám định BHYT; kiểm soát thanh toán các chế độ BHXH điện tử; rà soát và điều chỉnh Hệ thống theo các quy định mới của Luật BHYT số 51/2024/QH15; tham mưu xây dựng Thông tư số 12/2026/TT-BTC; triển khai ứng dụng AI-OCR trong giám định điện tử.</w:t>
      </w:r>
    </w:p>
    <w:p>
      <w:pPr>
        <w:spacing w:before="0" w:after="80"/>
        <w:jc w:val="left"/>
      </w:pPr>
      <w:r>
        <w:rPr>
          <w:rFonts w:ascii="Times New Roman" w:hAnsi="Times New Roman" w:eastAsia="Times New Roman"/>
          <w:b/>
          <w:i w:val="0"/>
          <w:color w:val="C00000"/>
          <w:sz w:val="26"/>
        </w:rPr>
        <w:t>2. Sơ lược thành tích của đơn vị (từ năm 2017 đến tháng 5/2026)</w:t>
      </w:r>
    </w:p>
    <w:p>
      <w:pPr>
        <w:spacing w:before="0" w:after="80"/>
        <w:ind w:firstLine="709"/>
        <w:jc w:val="left"/>
      </w:pPr>
      <w:r>
        <w:rPr>
          <w:rFonts w:ascii="Times New Roman" w:hAnsi="Times New Roman" w:eastAsia="Times New Roman"/>
          <w:b w:val="0"/>
          <w:i w:val="0"/>
          <w:sz w:val="26"/>
        </w:rPr>
        <w:t>Tập thể cán bộ, viên chức Trung tâm luôn đoàn kết, thống nhất, nỗ lực thực hiện nhiệm vụ chính trị và chuyên môn; tích cực tham gia các phong trào thi đua, hoạt động đoàn thể và hoạt động xã hội từ thiện. Hằng năm, đơn vị luôn chủ động, tích cực phối hợp với các đơn vị liên quan, thực hiện tốt nhiệm vụ được giao.</w:t>
      </w:r>
    </w:p>
    <w:p>
      <w:pPr>
        <w:spacing w:before="0" w:after="80"/>
        <w:ind w:firstLine="709"/>
        <w:jc w:val="left"/>
      </w:pPr>
      <w:r>
        <w:rPr>
          <w:rFonts w:ascii="Times New Roman" w:hAnsi="Times New Roman" w:eastAsia="Times New Roman"/>
          <w:b w:val="0"/>
          <w:i w:val="0"/>
          <w:color w:val="C00000"/>
          <w:sz w:val="26"/>
        </w:rPr>
        <w:t>Từ tháng 3/2017, Trung tâm được giao nhiệm vụ quản lý, vận hành Hệ thống thông tin giám định BHYT toàn quốc. Đây là bước ngoặt lớn, đánh dấu sự chuyển mình từ đơn vị sự nghiệp vùng sang cơ quan đầu não về công nghệ giám định BHYT điện tử của BHXH Việt Nam.</w:t>
      </w:r>
    </w:p>
    <w:p>
      <w:pPr>
        <w:spacing w:after="80" w:before="0"/>
        <w:ind w:firstLine="709"/>
        <w:jc w:val="left"/>
      </w:pPr>
      <w:r>
        <w:rPr>
          <w:rFonts w:ascii="Times New Roman" w:hAnsi="Times New Roman" w:eastAsia="Times New Roman"/>
          <w:b w:val="0"/>
          <w:i w:val="0"/>
          <w:sz w:val="26"/>
        </w:rPr>
        <w:t xml:space="preserve">Ngày 01/3/2025, theo Quyết định số 798/QĐ-BTC của Bộ trưởng Bộ Tài chính, đơn vị chính thức được tổ chức lại thành </w:t>
      </w:r>
      <w:r>
        <w:rPr>
          <w:rFonts w:ascii="Times New Roman" w:hAnsi="Times New Roman" w:eastAsia="Times New Roman"/>
          <w:b/>
          <w:i w:val="0"/>
          <w:sz w:val="26"/>
        </w:rPr>
        <w:t>Trung tâm Kiểm soát thanh toán BHXH, BHYT điện tử thuộc BHXH Việt Nam - Bộ Tài chính</w:t>
      </w:r>
      <w:r>
        <w:rPr>
          <w:rFonts w:ascii="Times New Roman" w:hAnsi="Times New Roman" w:eastAsia="Times New Roman"/>
          <w:b w:val="0"/>
          <w:i w:val="0"/>
          <w:sz w:val="26"/>
        </w:rPr>
        <w:t>, với chức năng, nhiệm vụ mở rộng sang cả lĩnh vực kiểm soát thanh toán các chế độ BHXH điện tử — khẳng định vị thế trung tâm dữ liệu y tế - an sinh xã hội số hàng đầu quốc gia.</w:t>
      </w:r>
    </w:p>
    <w:p>
      <w:pPr>
        <w:spacing w:before="0" w:after="120"/>
        <w:ind w:firstLine="709"/>
        <w:jc w:val="left"/>
      </w:pPr>
      <w:r>
        <w:rPr>
          <w:rFonts w:ascii="Times New Roman" w:hAnsi="Times New Roman" w:eastAsia="Times New Roman"/>
          <w:b w:val="0"/>
          <w:i w:val="0"/>
          <w:sz w:val="26"/>
        </w:rPr>
        <w:t>Kết quả xếp loại đơn vị: hằng năm, Chi bộ Trung tâm được xếp loại từ mức hoàn thành tốt nhiệm vụ trở lên (năm 2019, 2020 hoàn thành xuất sắc nhiệm vụ); Trung tâm đạt danh hiệu Tập thể Lao động xuất sắc, được tặng Bằng khen của Tổng Giám đốc BHXH Việt Nam (năm 2020, 2022), Bằng khen của Thủ tướng Chính phủ (năm 2021, 2023).</w:t>
      </w:r>
    </w:p>
    <w:p>
      <w:pPr>
        <w:spacing w:before="0" w:after="80"/>
        <w:jc w:val="left"/>
      </w:pPr>
      <w:r>
        <w:rPr>
          <w:rFonts w:ascii="Times New Roman" w:hAnsi="Times New Roman" w:eastAsia="Times New Roman"/>
          <w:b/>
          <w:i w:val="0"/>
          <w:sz w:val="26"/>
        </w:rPr>
        <w:t>3. Thành tích của cá nhân</w:t>
      </w:r>
    </w:p>
    <w:p>
      <w:pPr>
        <w:spacing w:before="0" w:after="80"/>
        <w:jc w:val="left"/>
      </w:pPr>
      <w:r>
        <w:rPr>
          <w:rFonts w:ascii="Times New Roman" w:hAnsi="Times New Roman" w:eastAsia="Times New Roman"/>
          <w:b/>
          <w:i w:val="0"/>
          <w:sz w:val="26"/>
        </w:rPr>
        <w:t>a) Về hưởng ứng, tham gia các phong trào thi đua</w:t>
      </w:r>
    </w:p>
    <w:p>
      <w:pPr>
        <w:spacing w:before="0" w:after="80"/>
        <w:ind w:firstLine="709"/>
        <w:jc w:val="left"/>
      </w:pPr>
      <w:r>
        <w:rPr>
          <w:rFonts w:ascii="Times New Roman" w:hAnsi="Times New Roman" w:eastAsia="Times New Roman"/>
          <w:b w:val="0"/>
          <w:i w:val="0"/>
          <w:sz w:val="26"/>
        </w:rPr>
        <w:t>Bản thân tôi luôn tích cực tham gia và hưởng ứng các phong trào thi đua do Thủ tướng Chính phủ và BHXH Việt Nam phát động; đồng thời vận động, kêu gọi đoàn viên công đoàn, viên chức, người lao động Trung tâm tích cực hưởng ứng.</w:t>
      </w:r>
    </w:p>
    <w:p>
      <w:pPr>
        <w:spacing w:before="0" w:after="60"/>
        <w:ind w:firstLine="0"/>
        <w:jc w:val="left"/>
      </w:pPr>
      <w:r>
        <w:rPr>
          <w:rFonts w:ascii="Times New Roman" w:hAnsi="Times New Roman" w:eastAsia="Times New Roman"/>
          <w:b w:val="0"/>
          <w:i w:val="0"/>
          <w:sz w:val="26"/>
        </w:rPr>
        <w:t>- Các phong trào thi đua do Thủ tướng Chính phủ phát động: "Cả nước chung sức xây dựng nông thôn mới"; "Cả nước chung tay vì người nghèo - không để ai bị bỏ lại phía sau"; "Doanh nghiệp Việt Nam hội nhập và phát triển"; "Đẩy mạnh phát triển kết cấu hạ tầng đồng bộ, hiện đại; thực hành tiết kiệm, chống lãng phí"; phong trào thi đua yêu nước giai đoạn 2021-2025 với chủ đề "Đoàn kết, sáng tạo, thi đua xây dựng và bảo vệ Tổ quốc".</w:t>
      </w:r>
    </w:p>
    <w:p>
      <w:pPr>
        <w:spacing w:before="0" w:after="60"/>
        <w:ind w:firstLine="0"/>
        <w:jc w:val="left"/>
      </w:pPr>
      <w:r>
        <w:rPr>
          <w:rFonts w:ascii="Times New Roman" w:hAnsi="Times New Roman" w:eastAsia="Times New Roman"/>
          <w:b w:val="0"/>
          <w:i w:val="0"/>
          <w:sz w:val="26"/>
        </w:rPr>
        <w:t>- Các phong trào thi đua do Tổng Giám đốc BHXH Việt Nam phát động giai đoạn 2019-2024: "Quyết liệt thực hiện đồng bộ các giải pháp nhằm hoàn thành xuất sắc các chỉ tiêu năm 2019"; phong trào thi đua yêu nước năm 2019 với chủ đề "Đoàn kết, sáng tạo, thi đua học tập và làm theo tư tưởng, đạo đức, phong cách Hồ Chí Minh".</w:t>
      </w:r>
    </w:p>
    <w:p>
      <w:pPr>
        <w:spacing w:before="0" w:after="60"/>
        <w:ind w:firstLine="0"/>
        <w:jc w:val="left"/>
      </w:pPr>
      <w:r>
        <w:rPr>
          <w:rFonts w:ascii="Times New Roman" w:hAnsi="Times New Roman" w:eastAsia="Times New Roman"/>
          <w:b w:val="0"/>
          <w:i w:val="0"/>
          <w:sz w:val="26"/>
        </w:rPr>
        <w:t>- Tích cực tham gia phong trào tiết kiệm, chống lãng phí; có tinh thần phục vụ nhân dân tận tụy.</w:t>
      </w:r>
    </w:p>
    <w:p>
      <w:pPr>
        <w:spacing w:before="0" w:after="60"/>
        <w:ind w:firstLine="0"/>
        <w:jc w:val="left"/>
      </w:pPr>
      <w:r>
        <w:rPr>
          <w:rFonts w:ascii="Times New Roman" w:hAnsi="Times New Roman" w:eastAsia="Times New Roman"/>
          <w:b w:val="0"/>
          <w:i w:val="0"/>
          <w:sz w:val="26"/>
        </w:rPr>
        <w:t>- Tích cực tham gia các hoạt động do Công đoàn Viên chức Việt Nam và Công đoàn cơ quan BHXH Việt Nam phát động năm 2024: Cuộc thi trực tuyến "Tìm hiểu Nghị quyết Hội nghị Trung ương 8 Khóa XIII"; Cuộc thi "Công nhân, viên chức, lao động tìm hiểu về công tác an toàn, vệ sinh lao động".</w:t>
      </w:r>
    </w:p>
    <w:p>
      <w:pPr>
        <w:spacing w:before="0" w:after="120"/>
        <w:ind w:firstLine="0"/>
        <w:jc w:val="left"/>
      </w:pPr>
      <w:r>
        <w:rPr>
          <w:rFonts w:ascii="Times New Roman" w:hAnsi="Times New Roman" w:eastAsia="Times New Roman"/>
          <w:b w:val="0"/>
          <w:i w:val="0"/>
          <w:sz w:val="26"/>
        </w:rPr>
        <w:t>- Tham gia, hưởng ứng "Ủng hộ 01 ngày lương vào quỹ hoạt động tình nghĩa của Ngành" và các hoạt động tình nguyện thường niên.</w:t>
      </w:r>
    </w:p>
    <w:p>
      <w:pPr>
        <w:spacing w:before="0" w:after="80"/>
        <w:jc w:val="left"/>
      </w:pPr>
      <w:r>
        <w:rPr>
          <w:rFonts w:ascii="Times New Roman" w:hAnsi="Times New Roman" w:eastAsia="Times New Roman"/>
          <w:b/>
          <w:i w:val="0"/>
          <w:sz w:val="26"/>
        </w:rPr>
        <w:t>b) Kết quả thực hiện nhiệm vụ</w:t>
      </w:r>
    </w:p>
    <w:p>
      <w:pPr>
        <w:spacing w:before="0" w:after="80"/>
        <w:ind w:firstLine="709"/>
        <w:jc w:val="left"/>
      </w:pPr>
      <w:r>
        <w:rPr>
          <w:rFonts w:ascii="Times New Roman" w:hAnsi="Times New Roman" w:eastAsia="Times New Roman"/>
          <w:b w:val="0"/>
          <w:i w:val="0"/>
          <w:color w:val="C00000"/>
          <w:sz w:val="26"/>
        </w:rPr>
        <w:t>Trong suốt quá trình công tác, tôi luôn nêu cao tinh thần trách nhiệm, gương mẫu chấp hành đường lối, chủ trương của Đảng, chính sách pháp luật của Nhà nước, giữ gìn đoàn kết nội bộ và không ngừng sáng tạo trong thực hiện nhiệm vụ. Với vai trò là cán bộ nòng cốt về công nghệ thông tin và chuyển đổi số của ngành BHXH, tôi đã trực tiếp tham mưu, xây dựng và vận hành thành công nhiều giải pháp công nghệ có tác động lớn đến toàn hệ thống.</w:t>
      </w:r>
    </w:p>
    <w:p>
      <w:pPr>
        <w:spacing w:before="0" w:after="80"/>
        <w:jc w:val="left"/>
      </w:pPr>
      <w:r>
        <w:rPr>
          <w:rFonts w:ascii="Times New Roman" w:hAnsi="Times New Roman" w:eastAsia="Times New Roman"/>
          <w:b/>
          <w:i w:val="0"/>
          <w:sz w:val="26"/>
        </w:rPr>
        <w:t>* Về quản lý, vận hành và phát triển Hệ thống thông tin giám định BHYT quốc gia</w:t>
      </w:r>
    </w:p>
    <w:p>
      <w:pPr>
        <w:spacing w:after="80" w:before="0"/>
        <w:ind w:firstLine="709"/>
        <w:jc w:val="left"/>
      </w:pPr>
      <w:r>
        <w:rPr>
          <w:rFonts w:ascii="Times New Roman" w:hAnsi="Times New Roman" w:eastAsia="Times New Roman"/>
          <w:b w:val="0"/>
          <w:i w:val="0"/>
          <w:sz w:val="26"/>
          <w:highlight w:val="yellow"/>
        </w:rPr>
        <w:t xml:space="preserve">Hệ thống thông tin giám định BHYT là </w:t>
      </w:r>
      <w:r>
        <w:rPr>
          <w:rFonts w:ascii="Times New Roman" w:hAnsi="Times New Roman" w:eastAsia="Times New Roman"/>
          <w:b/>
          <w:i w:val="0"/>
          <w:sz w:val="26"/>
          <w:highlight w:val="yellow"/>
        </w:rPr>
        <w:t>hệ thống dữ liệu y tế điện tử quy mô quốc gia lớn nhất Việt Nam</w:t>
      </w:r>
      <w:r>
        <w:rPr>
          <w:rFonts w:ascii="Times New Roman" w:hAnsi="Times New Roman" w:eastAsia="Times New Roman"/>
          <w:b w:val="0"/>
          <w:i w:val="0"/>
          <w:sz w:val="26"/>
          <w:highlight w:val="yellow"/>
        </w:rPr>
        <w:t>, tiếp nhận và xử lý tự động dữ liệu KCB BHYT từ hơn 12.800 cơ sở y tế trên toàn quốc. Trong suốt giai đoạn 2017-2024, tôi là người trực tiếp phụ trách vận hành và phát triển Hệ thống này với các kết quả tiêu biểu:</w:t>
      </w:r>
    </w:p>
    <w:p>
      <w:pPr>
        <w:spacing w:after="60" w:before="0"/>
        <w:ind w:firstLine="0"/>
        <w:jc w:val="left"/>
      </w:pPr>
      <w:r>
        <w:rPr>
          <w:rFonts w:ascii="Times New Roman" w:hAnsi="Times New Roman" w:eastAsia="Times New Roman"/>
          <w:b/>
          <w:i w:val="0"/>
          <w:sz w:val="26"/>
        </w:rPr>
        <w:t>- Năm 2017:</w:t>
      </w:r>
      <w:r>
        <w:rPr>
          <w:rFonts w:ascii="Times New Roman" w:hAnsi="Times New Roman" w:eastAsia="Times New Roman"/>
          <w:b w:val="0"/>
          <w:i w:val="0"/>
          <w:sz w:val="26"/>
        </w:rPr>
        <w:t xml:space="preserve"> Hệ thống chính thức khai thác từ tháng 01/2017, tiếp nhận 168,89 triệu lượt KCB đề nghị thanh toán BHYT, tỷ lệ liên thông dữ liệu trên 95%. Lần đầu tiên, hầu hết các quy trình nghiệp vụ giám định được tự động hóa hoàn toàn: kiểm tra thông tin, giám định dữ liệu, thông báo kết quả — giúp tiết kiệm hàng trăm giờ công lao động thủ công mỗi ngày.</w:t>
      </w:r>
    </w:p>
    <w:p>
      <w:pPr>
        <w:spacing w:after="60" w:before="0"/>
        <w:ind w:firstLine="0"/>
        <w:jc w:val="left"/>
      </w:pPr>
      <w:r>
        <w:rPr>
          <w:rFonts w:ascii="Times New Roman" w:hAnsi="Times New Roman" w:eastAsia="Times New Roman"/>
          <w:b/>
          <w:i w:val="0"/>
          <w:sz w:val="26"/>
        </w:rPr>
        <w:t>- Năm 2018:</w:t>
      </w:r>
      <w:r>
        <w:rPr>
          <w:rFonts w:ascii="Times New Roman" w:hAnsi="Times New Roman" w:eastAsia="Times New Roman"/>
          <w:b w:val="0"/>
          <w:i w:val="0"/>
          <w:sz w:val="26"/>
        </w:rPr>
        <w:t xml:space="preserve"> Tiếp nhận 176,52 triệu lượt KCB với chi phí đề nghị thanh toán trên 98.426,8 tỷ đồng, tỷ lệ liên thông đạt 98,02%. Xây dựng, bổ sung các phân hệ mới và liên thông Hệ thống với các phần mềm nghiệp vụ khác (Thu, sổ thẻ; giải quyết hưởng BHXH; kế toán tập trung).</w:t>
      </w:r>
    </w:p>
    <w:p>
      <w:pPr>
        <w:spacing w:after="60" w:before="0"/>
        <w:ind w:firstLine="0"/>
        <w:jc w:val="left"/>
      </w:pPr>
      <w:r>
        <w:rPr>
          <w:rFonts w:ascii="Times New Roman" w:hAnsi="Times New Roman" w:eastAsia="Times New Roman"/>
          <w:b/>
          <w:i w:val="0"/>
          <w:sz w:val="26"/>
        </w:rPr>
        <w:t>- Năm 2019:</w:t>
      </w:r>
      <w:r>
        <w:rPr>
          <w:rFonts w:ascii="Times New Roman" w:hAnsi="Times New Roman" w:eastAsia="Times New Roman"/>
          <w:b w:val="0"/>
          <w:i w:val="0"/>
          <w:sz w:val="26"/>
        </w:rPr>
        <w:t xml:space="preserve"> Xây dựng, bổ sung phần mềm Giám sát và phần mềm Quản lý thuốc; liên thông đồng bộ các phần mềm nghiệp vụ BHXH (TST, TCS, KTTT); phát triển Phần mềm Giám sát với 4 bản đồ, 15 biểu đồ và 25 chỉ tiêu theo dõi.</w:t>
      </w:r>
    </w:p>
    <w:p>
      <w:pPr>
        <w:spacing w:after="60" w:before="0"/>
        <w:ind w:firstLine="0"/>
        <w:jc w:val="left"/>
      </w:pPr>
      <w:r>
        <w:rPr>
          <w:rFonts w:ascii="Times New Roman" w:hAnsi="Times New Roman" w:eastAsia="Times New Roman"/>
          <w:b/>
          <w:i w:val="0"/>
          <w:sz w:val="26"/>
        </w:rPr>
        <w:t>- Năm 2020:</w:t>
      </w:r>
      <w:r>
        <w:rPr>
          <w:rFonts w:ascii="Times New Roman" w:hAnsi="Times New Roman" w:eastAsia="Times New Roman"/>
          <w:b w:val="0"/>
          <w:i w:val="0"/>
          <w:sz w:val="26"/>
        </w:rPr>
        <w:t xml:space="preserve"> Phát triển, hoàn thiện và bổ sung 11 chức năng mới trên phần mềm Giám định; triển khai tích hợp chữ ký số nội bộ các báo cáo quyết toán; liên thông phần mềm Kế toán tập trung và Thẩm định quyết toán của Ngành.</w:t>
      </w:r>
    </w:p>
    <w:p>
      <w:pPr>
        <w:spacing w:after="60" w:before="0"/>
        <w:ind w:firstLine="0"/>
        <w:jc w:val="left"/>
      </w:pPr>
      <w:r>
        <w:rPr>
          <w:rFonts w:ascii="Times New Roman" w:hAnsi="Times New Roman" w:eastAsia="Times New Roman"/>
          <w:b/>
          <w:i w:val="0"/>
          <w:sz w:val="26"/>
        </w:rPr>
        <w:t>- Năm 2021:</w:t>
      </w:r>
      <w:r>
        <w:rPr>
          <w:rFonts w:ascii="Times New Roman" w:hAnsi="Times New Roman" w:eastAsia="Times New Roman"/>
          <w:b w:val="0"/>
          <w:i w:val="0"/>
          <w:sz w:val="26"/>
        </w:rPr>
        <w:t xml:space="preserve"> Điều chỉnh, bổ sung 45 chức năng mới; cập nhật 21 quy tắc giám định dữ liệu; bổ sung biểu mẫu quyết toán chi KCB BHYT năm 2020 và 2021. Hệ thống tiếp tục được ghi nhận là công cụ kiểm soát quỹ BHYT hiệu quả và minh bạch.</w:t>
      </w:r>
    </w:p>
    <w:p>
      <w:pPr>
        <w:spacing w:after="60" w:before="0"/>
        <w:ind w:firstLine="0"/>
        <w:jc w:val="left"/>
      </w:pPr>
      <w:r>
        <w:rPr>
          <w:rFonts w:ascii="Times New Roman" w:hAnsi="Times New Roman" w:eastAsia="Times New Roman"/>
          <w:b/>
          <w:i w:val="0"/>
          <w:sz w:val="26"/>
        </w:rPr>
        <w:t>- Năm 2022:</w:t>
      </w:r>
      <w:r>
        <w:rPr>
          <w:rFonts w:ascii="Times New Roman" w:hAnsi="Times New Roman" w:eastAsia="Times New Roman"/>
          <w:b w:val="0"/>
          <w:i w:val="0"/>
          <w:sz w:val="26"/>
        </w:rPr>
        <w:t xml:space="preserve"> Tổ chức phân tích, xây dựng và ban hành Quy trình giám định BHYT mới (Quyết định số 3618/QĐ-BHXH ngày 12/12/2022), thay thế Quyết định 1456/QĐ-BHXH sau hơn 5 năm áp dụng. Bổ sung các chức năng kiểm soát quỹ BHYT chặt chẽ, kịp thời phát hiện và ngăn ngừa lạm dụng, trục lợi.</w:t>
      </w:r>
    </w:p>
    <w:p>
      <w:pPr>
        <w:spacing w:after="60" w:before="0"/>
        <w:ind w:firstLine="0"/>
        <w:jc w:val="left"/>
      </w:pPr>
      <w:r>
        <w:rPr>
          <w:rFonts w:ascii="Times New Roman" w:hAnsi="Times New Roman" w:eastAsia="Times New Roman"/>
          <w:b/>
          <w:i w:val="0"/>
          <w:sz w:val="26"/>
        </w:rPr>
        <w:t>- Năm 2023:</w:t>
      </w:r>
      <w:r>
        <w:rPr>
          <w:rFonts w:ascii="Times New Roman" w:hAnsi="Times New Roman" w:eastAsia="Times New Roman"/>
          <w:b w:val="0"/>
          <w:i w:val="0"/>
          <w:sz w:val="26"/>
        </w:rPr>
        <w:t xml:space="preserve"> Bổ sung 38 chức năng, 419 quy tắc, 07 bảng danh mục tại 12.846 cơ sở y tế theo Quy trình Giám định BHYT mới; phát triển thêm các bản đồ theo dõi mới trên Phần mềm Giám sát.</w:t>
      </w:r>
    </w:p>
    <w:p>
      <w:pPr>
        <w:spacing w:after="60" w:before="0"/>
        <w:ind w:firstLine="0"/>
        <w:jc w:val="left"/>
      </w:pPr>
      <w:r>
        <w:rPr>
          <w:rFonts w:ascii="Times New Roman" w:hAnsi="Times New Roman" w:eastAsia="Times New Roman"/>
          <w:b/>
          <w:i w:val="0"/>
          <w:sz w:val="26"/>
        </w:rPr>
        <w:t>- Năm 2024:</w:t>
      </w:r>
      <w:r>
        <w:rPr>
          <w:rFonts w:ascii="Times New Roman" w:hAnsi="Times New Roman" w:eastAsia="Times New Roman"/>
          <w:b w:val="0"/>
          <w:i w:val="0"/>
          <w:sz w:val="26"/>
        </w:rPr>
        <w:t xml:space="preserve"> Bổ sung, phát triển quy tắc và chức năng của Hệ thống (nâng cấp 14 chức năng, 01 tính năng mới); điều chỉnh mẫu C82-HD theo Nghị định 75/2023/NĐ-CP; kiểm thử AI-OCR; thí điểm khai phá dữ liệu và ứng dụng trí tuệ nhân tạo trong kiểm soát chi phí KCB BHYT.</w:t>
      </w:r>
    </w:p>
    <w:p>
      <w:pPr>
        <w:spacing w:after="60" w:before="0"/>
        <w:ind w:firstLine="0"/>
        <w:jc w:val="left"/>
      </w:pPr>
      <w:r>
        <w:rPr>
          <w:rFonts w:ascii="Times New Roman" w:hAnsi="Times New Roman" w:eastAsia="Times New Roman"/>
          <w:b/>
          <w:i w:val="0"/>
          <w:sz w:val="26"/>
        </w:rPr>
        <w:t>- Từ 3/2025 đến 5/2026:</w:t>
      </w:r>
      <w:r>
        <w:rPr>
          <w:rFonts w:ascii="Times New Roman" w:hAnsi="Times New Roman" w:eastAsia="Times New Roman"/>
          <w:b w:val="0"/>
          <w:i w:val="0"/>
          <w:sz w:val="26"/>
        </w:rPr>
        <w:t xml:space="preserve"> Rà soát, điều chỉnh Hệ thống theo Luật BHYT số 51/2024/QH15, Nghị định số 02/2025/NĐ-CP, Thông tư số 01/2025/TT-BYT; xây dựng chỉ tiêu và phát triển công cụ giám sát thanh toán các chế độ BHXH trên dữ liệu điện tử. Đặc biệt, trực tiếp tham mưu xây dựng dự thảo Thông tư số 12/2026/TT-BTC ngày 10/02/2026 của Bộ Tài chính quy định trình tự, thủ tục giám định chi phí KCB BHYT.</w:t>
      </w:r>
    </w:p>
    <w:p>
      <w:pPr>
        <w:spacing w:after="120" w:before="0"/>
        <w:ind w:firstLine="709"/>
        <w:jc w:val="left"/>
      </w:pPr>
      <w:r>
        <w:rPr>
          <w:rFonts w:ascii="Times New Roman" w:hAnsi="Times New Roman" w:eastAsia="Times New Roman"/>
          <w:b w:val="0"/>
          <w:i w:val="0"/>
          <w:sz w:val="26"/>
          <w:highlight w:val="yellow"/>
        </w:rPr>
        <w:t xml:space="preserve">Lũy kế từ khi Hệ thống vận hành chính thức (2017) đến hết năm 2024, </w:t>
      </w:r>
      <w:r>
        <w:rPr>
          <w:rFonts w:ascii="Times New Roman" w:hAnsi="Times New Roman" w:eastAsia="Times New Roman"/>
          <w:b/>
          <w:i w:val="0"/>
          <w:sz w:val="26"/>
          <w:highlight w:val="yellow"/>
        </w:rPr>
        <w:t>Hệ thống đã xử lý tự động trên 1,25 tỷ lượt đề nghị thanh toán chi phí KCB BHYT, với tổng chi phí vượt 300.000 tỷ đồng</w:t>
      </w:r>
      <w:r>
        <w:rPr>
          <w:rFonts w:ascii="Times New Roman" w:hAnsi="Times New Roman" w:eastAsia="Times New Roman"/>
          <w:b w:val="0"/>
          <w:i w:val="0"/>
          <w:sz w:val="26"/>
          <w:highlight w:val="yellow"/>
        </w:rPr>
        <w:t xml:space="preserve">, đạt tỷ lệ liên thông dữ liệu trên 98%, giảm thiểu hàng triệu giờ công tác thủ công và </w:t>
      </w:r>
      <w:r>
        <w:rPr>
          <w:rFonts w:ascii="Times New Roman" w:hAnsi="Times New Roman" w:eastAsia="Times New Roman"/>
          <w:b/>
          <w:i w:val="0"/>
          <w:sz w:val="26"/>
          <w:highlight w:val="yellow"/>
        </w:rPr>
        <w:t>phát hiện, giảm trừ hàng chục nghìn tỷ đồng chi phí không hợp lý từ quỹ BHYT</w:t>
      </w:r>
      <w:r>
        <w:rPr>
          <w:rFonts w:ascii="Times New Roman" w:hAnsi="Times New Roman" w:eastAsia="Times New Roman"/>
          <w:b w:val="0"/>
          <w:i w:val="0"/>
          <w:sz w:val="26"/>
          <w:highlight w:val="yellow"/>
        </w:rPr>
        <w:t xml:space="preserve"> — đóng góp thiết thực vào bảo vệ sự cân đối bền vững của quỹ BHYT quốc gia.</w:t>
      </w:r>
    </w:p>
    <w:p>
      <w:pPr>
        <w:spacing w:before="0" w:after="80"/>
        <w:jc w:val="left"/>
      </w:pPr>
      <w:r>
        <w:rPr>
          <w:rFonts w:ascii="Times New Roman" w:hAnsi="Times New Roman" w:eastAsia="Times New Roman"/>
          <w:b/>
          <w:i w:val="0"/>
          <w:sz w:val="26"/>
        </w:rPr>
        <w:t>* Về công tác phân tích dữ liệu, xây dựng các chuyên đề giám định BHYT và cảnh báo chi phí gia tăng bất thường</w:t>
      </w:r>
    </w:p>
    <w:p>
      <w:pPr>
        <w:spacing w:after="80" w:before="0"/>
        <w:ind w:firstLine="709"/>
        <w:jc w:val="left"/>
      </w:pPr>
      <w:r>
        <w:rPr>
          <w:rFonts w:ascii="Times New Roman" w:hAnsi="Times New Roman" w:eastAsia="Times New Roman"/>
          <w:b w:val="0"/>
          <w:i w:val="0"/>
          <w:sz w:val="26"/>
          <w:highlight w:val="yellow"/>
        </w:rPr>
        <w:t xml:space="preserve">Đây là lĩnh vực tôi đóng vai trò </w:t>
      </w:r>
      <w:r>
        <w:rPr>
          <w:rFonts w:ascii="Times New Roman" w:hAnsi="Times New Roman" w:eastAsia="Times New Roman"/>
          <w:b/>
          <w:i w:val="0"/>
          <w:sz w:val="26"/>
          <w:highlight w:val="yellow"/>
        </w:rPr>
        <w:t>chuyên gia đầu ngành</w:t>
      </w:r>
      <w:r>
        <w:rPr>
          <w:rFonts w:ascii="Times New Roman" w:hAnsi="Times New Roman" w:eastAsia="Times New Roman"/>
          <w:b w:val="0"/>
          <w:i w:val="0"/>
          <w:sz w:val="26"/>
          <w:highlight w:val="yellow"/>
        </w:rPr>
        <w:t xml:space="preserve"> về phân tích dữ liệu lớn (big data) KCB BHYT. Hằng năm, căn cứ dữ liệu điện tử từ Hệ thống, tôi trực tiếp tham mưu và chỉ đạo các phòng nghiệp vụ xây dựng, cập nhật và thực hiện các chuyên đề giám định BHYT, từ đó phát hiện và thu hồi hàng trăm tỷ đồng chi phí không hợp lý mỗi năm:</w:t>
      </w:r>
    </w:p>
    <w:p>
      <w:pPr>
        <w:spacing w:after="60" w:before="0"/>
        <w:ind w:firstLine="0"/>
        <w:jc w:val="left"/>
      </w:pPr>
      <w:r>
        <w:rPr>
          <w:rFonts w:ascii="Times New Roman" w:hAnsi="Times New Roman" w:eastAsia="Times New Roman"/>
          <w:b/>
          <w:i w:val="0"/>
          <w:sz w:val="26"/>
        </w:rPr>
        <w:t>- Năm 2017:</w:t>
      </w:r>
      <w:r>
        <w:rPr>
          <w:rFonts w:ascii="Times New Roman" w:hAnsi="Times New Roman" w:eastAsia="Times New Roman"/>
          <w:b w:val="0"/>
          <w:i w:val="0"/>
          <w:sz w:val="26"/>
        </w:rPr>
        <w:t xml:space="preserve"> Thông báo 15 chuyên đề, số tiền đề nghị BHXH các tỉnh kiểm tra là 583,8 tỷ đồng; kết quả từ chối 115,1 tỷ đồng (tỷ lệ 20,8%).</w:t>
      </w:r>
    </w:p>
    <w:p>
      <w:pPr>
        <w:spacing w:after="60" w:before="0"/>
        <w:ind w:firstLine="0"/>
        <w:jc w:val="left"/>
      </w:pPr>
      <w:r>
        <w:rPr>
          <w:rFonts w:ascii="Times New Roman" w:hAnsi="Times New Roman" w:eastAsia="Times New Roman"/>
          <w:b/>
          <w:i w:val="0"/>
          <w:sz w:val="26"/>
        </w:rPr>
        <w:t>- Năm 2018:</w:t>
      </w:r>
      <w:r>
        <w:rPr>
          <w:rFonts w:ascii="Times New Roman" w:hAnsi="Times New Roman" w:eastAsia="Times New Roman"/>
          <w:b w:val="0"/>
          <w:i w:val="0"/>
          <w:sz w:val="26"/>
        </w:rPr>
        <w:t xml:space="preserve"> Thông báo 46 chuyên đề, số tiền đề nghị kiểm tra 415,1 tỷ đồng; BHXH các tỉnh giám định từ chối 123,1 tỷ đồng (tỷ lệ 20,8%). Hệ thống ghi nhận giảm trừ tự động và chủ động 2.268,8 tỷ đồng.</w:t>
      </w:r>
    </w:p>
    <w:p>
      <w:pPr>
        <w:spacing w:after="60" w:before="0"/>
        <w:ind w:firstLine="0"/>
        <w:jc w:val="left"/>
      </w:pPr>
      <w:r>
        <w:rPr>
          <w:rFonts w:ascii="Times New Roman" w:hAnsi="Times New Roman" w:eastAsia="Times New Roman"/>
          <w:b/>
          <w:i w:val="0"/>
          <w:sz w:val="26"/>
        </w:rPr>
        <w:t>- Năm 2019:</w:t>
      </w:r>
      <w:r>
        <w:rPr>
          <w:rFonts w:ascii="Times New Roman" w:hAnsi="Times New Roman" w:eastAsia="Times New Roman"/>
          <w:b w:val="0"/>
          <w:i w:val="0"/>
          <w:sz w:val="26"/>
        </w:rPr>
        <w:t xml:space="preserve"> Thông báo 121 chuyên đề (trong đó 45 chuyên đề mới); thu hồi qua giám định chuyên đề 74,1 tỷ đồng.</w:t>
      </w:r>
    </w:p>
    <w:p>
      <w:pPr>
        <w:spacing w:after="60" w:before="0"/>
        <w:ind w:firstLine="0"/>
        <w:jc w:val="left"/>
      </w:pPr>
      <w:r>
        <w:rPr>
          <w:rFonts w:ascii="Times New Roman" w:hAnsi="Times New Roman" w:eastAsia="Times New Roman"/>
          <w:b/>
          <w:i w:val="0"/>
          <w:sz w:val="26"/>
        </w:rPr>
        <w:t>- Năm 2020:</w:t>
      </w:r>
      <w:r>
        <w:rPr>
          <w:rFonts w:ascii="Times New Roman" w:hAnsi="Times New Roman" w:eastAsia="Times New Roman"/>
          <w:b w:val="0"/>
          <w:i w:val="0"/>
          <w:sz w:val="26"/>
        </w:rPr>
        <w:t xml:space="preserve"> Thực hiện gần 100 chuyên đề (22 chuyên đề mới); Hệ thống ghi nhận giảm trừ tự động và chủ động.</w:t>
      </w:r>
    </w:p>
    <w:p>
      <w:pPr>
        <w:spacing w:after="60" w:before="0"/>
        <w:ind w:firstLine="0"/>
        <w:jc w:val="left"/>
      </w:pPr>
      <w:r>
        <w:rPr>
          <w:rFonts w:ascii="Times New Roman" w:hAnsi="Times New Roman" w:eastAsia="Times New Roman"/>
          <w:b/>
          <w:i w:val="0"/>
          <w:sz w:val="26"/>
        </w:rPr>
        <w:t>- Năm 2021:</w:t>
      </w:r>
      <w:r>
        <w:rPr>
          <w:rFonts w:ascii="Times New Roman" w:hAnsi="Times New Roman" w:eastAsia="Times New Roman"/>
          <w:b w:val="0"/>
          <w:i w:val="0"/>
          <w:sz w:val="26"/>
        </w:rPr>
        <w:t xml:space="preserve"> Thực hiện 20 chuyên đề mới; thông báo 06 đợt giám định chuyên đề, từ chối thanh toán 36,6 tỷ đồng, điều chỉnh giảm 229.022 lần tách lượt KCB ngoại trú và 4.571 lượt có chỉ định nội trú quá mức cần thiết.</w:t>
      </w:r>
    </w:p>
    <w:p>
      <w:pPr>
        <w:spacing w:after="60" w:before="0"/>
        <w:ind w:firstLine="0"/>
        <w:jc w:val="left"/>
      </w:pPr>
      <w:r>
        <w:rPr>
          <w:rFonts w:ascii="Times New Roman" w:hAnsi="Times New Roman" w:eastAsia="Times New Roman"/>
          <w:b/>
          <w:i w:val="0"/>
          <w:sz w:val="26"/>
        </w:rPr>
        <w:t>- Năm 2022:</w:t>
      </w:r>
      <w:r>
        <w:rPr>
          <w:rFonts w:ascii="Times New Roman" w:hAnsi="Times New Roman" w:eastAsia="Times New Roman"/>
          <w:b w:val="0"/>
          <w:i w:val="0"/>
          <w:sz w:val="26"/>
        </w:rPr>
        <w:t xml:space="preserve"> Hướng dẫn giám định 35 chuyên đề (14 chuyên đề mới) quý đầu năm, giảm trừ 28,46 tỷ đồng; quý 4 thực hiện thêm 59 chuyên đề (10 chuyên đề mới), số tiền 70,1 tỷ đồng.</w:t>
      </w:r>
    </w:p>
    <w:p>
      <w:pPr>
        <w:spacing w:after="60" w:before="0"/>
        <w:ind w:firstLine="0"/>
        <w:jc w:val="left"/>
      </w:pPr>
      <w:r>
        <w:rPr>
          <w:rFonts w:ascii="Times New Roman" w:hAnsi="Times New Roman" w:eastAsia="Times New Roman"/>
          <w:b/>
          <w:i w:val="0"/>
          <w:sz w:val="26"/>
        </w:rPr>
        <w:t>- Năm 2023:</w:t>
      </w:r>
      <w:r>
        <w:rPr>
          <w:rFonts w:ascii="Times New Roman" w:hAnsi="Times New Roman" w:eastAsia="Times New Roman"/>
          <w:b w:val="0"/>
          <w:i w:val="0"/>
          <w:sz w:val="26"/>
        </w:rPr>
        <w:t xml:space="preserve"> Xây dựng và thực hiện 87 chuyên đề (12 chuyên đề mới); hỗ trợ BHXH các tỉnh chuẩn hoá danh mục theo QĐ 3618/QĐ-BHXH.</w:t>
      </w:r>
    </w:p>
    <w:p>
      <w:pPr>
        <w:spacing w:after="60" w:before="0"/>
        <w:ind w:firstLine="0"/>
        <w:jc w:val="left"/>
      </w:pPr>
      <w:r>
        <w:rPr>
          <w:rFonts w:ascii="Times New Roman" w:hAnsi="Times New Roman" w:eastAsia="Times New Roman"/>
          <w:b/>
          <w:i w:val="0"/>
          <w:sz w:val="26"/>
        </w:rPr>
        <w:t>- Năm 2024:</w:t>
      </w:r>
      <w:r>
        <w:rPr>
          <w:rFonts w:ascii="Times New Roman" w:hAnsi="Times New Roman" w:eastAsia="Times New Roman"/>
          <w:b w:val="0"/>
          <w:i w:val="0"/>
          <w:sz w:val="26"/>
        </w:rPr>
        <w:t xml:space="preserve"> Tham mưu thông báo 90 chuyên đề (13 chuyên đề mới), tổng số tiền yêu cầu kiểm tra giám định 184,23 tỷ đồng, thu hồi 61,9 tỷ đồng. Hệ thống giảm trừ tự động và chủ động hơn 1.900 tỷ đồng trong 3 quý đầu năm.</w:t>
      </w:r>
    </w:p>
    <w:p>
      <w:pPr>
        <w:spacing w:after="60" w:before="0"/>
        <w:ind w:firstLine="0"/>
        <w:jc w:val="left"/>
      </w:pPr>
      <w:r>
        <w:rPr>
          <w:rFonts w:ascii="Times New Roman" w:hAnsi="Times New Roman" w:eastAsia="Times New Roman"/>
          <w:b/>
          <w:i w:val="0"/>
          <w:sz w:val="26"/>
        </w:rPr>
        <w:t>- Từ 3/2025 đến 5/2026:</w:t>
      </w:r>
      <w:r>
        <w:rPr>
          <w:rFonts w:ascii="Times New Roman" w:hAnsi="Times New Roman" w:eastAsia="Times New Roman"/>
          <w:b w:val="0"/>
          <w:i w:val="0"/>
          <w:sz w:val="26"/>
        </w:rPr>
        <w:t xml:space="preserve"> Tiếp tục chỉ đạo tổng hợp dữ liệu KCB BHYT, hỗ trợ BHXH các tỉnh tổ chức giám định trong bối cảnh hạ tầng CNTT đang được kiện toàn sau tổ chức lại bộ máy.</w:t>
      </w:r>
    </w:p>
    <w:p>
      <w:pPr>
        <w:spacing w:after="120" w:before="0"/>
        <w:ind w:firstLine="709"/>
        <w:jc w:val="left"/>
      </w:pPr>
      <w:r>
        <w:rPr>
          <w:rFonts w:ascii="Times New Roman" w:hAnsi="Times New Roman" w:eastAsia="Times New Roman"/>
          <w:b w:val="0"/>
          <w:i w:val="0"/>
          <w:sz w:val="26"/>
          <w:highlight w:val="yellow"/>
        </w:rPr>
        <w:t xml:space="preserve">Lũy kế từ 2017 đến 2024, </w:t>
      </w:r>
      <w:r>
        <w:rPr>
          <w:rFonts w:ascii="Times New Roman" w:hAnsi="Times New Roman" w:eastAsia="Times New Roman"/>
          <w:b/>
          <w:i w:val="0"/>
          <w:sz w:val="26"/>
          <w:highlight w:val="yellow"/>
        </w:rPr>
        <w:t>tổng số tiền chi phí KCB BHYT không hợp lý được phát hiện và giảm trừ thông qua hệ thống chuyên đề giám định đạt hàng chục nghìn tỷ đồng</w:t>
      </w:r>
      <w:r>
        <w:rPr>
          <w:rFonts w:ascii="Times New Roman" w:hAnsi="Times New Roman" w:eastAsia="Times New Roman"/>
          <w:b w:val="0"/>
          <w:i w:val="0"/>
          <w:sz w:val="26"/>
          <w:highlight w:val="yellow"/>
        </w:rPr>
        <w:t>, góp phần bảo vệ quỹ BHYT, bảo đảm quyền lợi chính đáng của người tham gia và ngăn ngừa có hiệu quả tình trạng lạm dụng, trục lợi quỹ.</w:t>
      </w:r>
    </w:p>
    <w:p>
      <w:pPr>
        <w:spacing w:before="0" w:after="80"/>
        <w:jc w:val="left"/>
      </w:pPr>
      <w:r>
        <w:rPr>
          <w:rFonts w:ascii="Times New Roman" w:hAnsi="Times New Roman" w:eastAsia="Times New Roman"/>
          <w:b/>
          <w:i w:val="0"/>
          <w:sz w:val="26"/>
        </w:rPr>
        <w:t>* Về công tác thanh toán đa tuyến ngoại tỉnh</w:t>
      </w:r>
    </w:p>
    <w:p>
      <w:pPr>
        <w:spacing w:after="80" w:before="0"/>
        <w:ind w:firstLine="709"/>
        <w:jc w:val="left"/>
      </w:pPr>
      <w:r>
        <w:rPr>
          <w:rFonts w:ascii="Times New Roman" w:hAnsi="Times New Roman" w:eastAsia="Times New Roman"/>
          <w:b w:val="0"/>
          <w:i w:val="0"/>
          <w:sz w:val="26"/>
        </w:rPr>
        <w:t xml:space="preserve">Tôi trực tiếp phụ trách và chỉ đạo thực hiện toàn bộ quy trình tổng hợp, thẩm định, thông báo, điều chỉnh và giám định lại đối với chi phí KCB đa tuyến ngoại tỉnh trên Hệ thống. </w:t>
      </w:r>
      <w:r>
        <w:rPr>
          <w:rFonts w:ascii="Times New Roman" w:hAnsi="Times New Roman" w:eastAsia="Times New Roman"/>
          <w:b w:val="0"/>
          <w:i w:val="0"/>
          <w:sz w:val="26"/>
          <w:highlight w:val="yellow"/>
        </w:rPr>
        <w:t>Đây là nghiệp vụ đặc thù, đòi hỏi xử lý khối lượng dữ liệu khổng lồ với độ chính xác cao</w:t>
      </w:r>
      <w:r>
        <w:rPr>
          <w:rFonts w:ascii="Times New Roman" w:hAnsi="Times New Roman" w:eastAsia="Times New Roman"/>
          <w:b w:val="0"/>
          <w:i w:val="0"/>
          <w:sz w:val="26"/>
        </w:rPr>
        <w:t xml:space="preserve"> — kết quả qua từng năm:</w:t>
      </w:r>
    </w:p>
    <w:p>
      <w:pPr>
        <w:spacing w:after="40" w:before="0"/>
        <w:ind w:firstLine="0"/>
        <w:jc w:val="left"/>
      </w:pPr>
      <w:r>
        <w:rPr>
          <w:rFonts w:ascii="Times New Roman" w:hAnsi="Times New Roman" w:eastAsia="Times New Roman"/>
          <w:b/>
          <w:i w:val="0"/>
          <w:sz w:val="26"/>
        </w:rPr>
        <w:t>- 2017:</w:t>
      </w:r>
      <w:r>
        <w:rPr>
          <w:rFonts w:ascii="Times New Roman" w:hAnsi="Times New Roman" w:eastAsia="Times New Roman"/>
          <w:b w:val="0"/>
          <w:i w:val="0"/>
          <w:sz w:val="26"/>
        </w:rPr>
        <w:t xml:space="preserve"> 10,9 triệu lượt, số tiền 22.593,27 tỷ đồng</w:t>
      </w:r>
    </w:p>
    <w:p>
      <w:pPr>
        <w:spacing w:after="40" w:before="0"/>
        <w:ind w:firstLine="0"/>
        <w:jc w:val="left"/>
      </w:pPr>
      <w:r>
        <w:rPr>
          <w:rFonts w:ascii="Times New Roman" w:hAnsi="Times New Roman" w:eastAsia="Times New Roman"/>
          <w:b/>
          <w:i w:val="0"/>
          <w:sz w:val="26"/>
        </w:rPr>
        <w:t>- 2018:</w:t>
      </w:r>
      <w:r>
        <w:rPr>
          <w:rFonts w:ascii="Times New Roman" w:hAnsi="Times New Roman" w:eastAsia="Times New Roman"/>
          <w:b w:val="0"/>
          <w:i w:val="0"/>
          <w:sz w:val="26"/>
        </w:rPr>
        <w:t xml:space="preserve"> 13,3 triệu lượt, số tiền 23.481,49 tỷ đồng</w:t>
      </w:r>
    </w:p>
    <w:p>
      <w:pPr>
        <w:spacing w:after="40" w:before="0"/>
        <w:ind w:firstLine="0"/>
        <w:jc w:val="left"/>
      </w:pPr>
      <w:r>
        <w:rPr>
          <w:rFonts w:ascii="Times New Roman" w:hAnsi="Times New Roman" w:eastAsia="Times New Roman"/>
          <w:b/>
          <w:i w:val="0"/>
          <w:sz w:val="26"/>
        </w:rPr>
        <w:t>- 2019:</w:t>
      </w:r>
      <w:r>
        <w:rPr>
          <w:rFonts w:ascii="Times New Roman" w:hAnsi="Times New Roman" w:eastAsia="Times New Roman"/>
          <w:b w:val="0"/>
          <w:i w:val="0"/>
          <w:sz w:val="26"/>
        </w:rPr>
        <w:t xml:space="preserve"> 15,14 triệu lượt, số tiền 26.195,28 tỷ đồng</w:t>
      </w:r>
    </w:p>
    <w:p>
      <w:pPr>
        <w:spacing w:after="40" w:before="0"/>
        <w:ind w:firstLine="0"/>
        <w:jc w:val="left"/>
      </w:pPr>
      <w:r>
        <w:rPr>
          <w:rFonts w:ascii="Times New Roman" w:hAnsi="Times New Roman" w:eastAsia="Times New Roman"/>
          <w:b/>
          <w:i w:val="0"/>
          <w:sz w:val="26"/>
        </w:rPr>
        <w:t>- 2020:</w:t>
      </w:r>
      <w:r>
        <w:rPr>
          <w:rFonts w:ascii="Times New Roman" w:hAnsi="Times New Roman" w:eastAsia="Times New Roman"/>
          <w:b w:val="0"/>
          <w:i w:val="0"/>
          <w:sz w:val="26"/>
        </w:rPr>
        <w:t xml:space="preserve"> 13,59 triệu lượt, số tiền 25.246,97 tỷ đồng</w:t>
      </w:r>
    </w:p>
    <w:p>
      <w:pPr>
        <w:spacing w:after="40" w:before="0"/>
        <w:ind w:firstLine="0"/>
        <w:jc w:val="left"/>
      </w:pPr>
      <w:r>
        <w:rPr>
          <w:rFonts w:ascii="Times New Roman" w:hAnsi="Times New Roman" w:eastAsia="Times New Roman"/>
          <w:b/>
          <w:i w:val="0"/>
          <w:sz w:val="26"/>
        </w:rPr>
        <w:t>- 2021:</w:t>
      </w:r>
      <w:r>
        <w:rPr>
          <w:rFonts w:ascii="Times New Roman" w:hAnsi="Times New Roman" w:eastAsia="Times New Roman"/>
          <w:b w:val="0"/>
          <w:i w:val="0"/>
          <w:sz w:val="26"/>
        </w:rPr>
        <w:t xml:space="preserve"> 8,94 triệu lượt, số tiền 19.770,56 tỷ đồng</w:t>
      </w:r>
    </w:p>
    <w:p>
      <w:pPr>
        <w:spacing w:after="40" w:before="0"/>
        <w:ind w:firstLine="0"/>
        <w:jc w:val="left"/>
      </w:pPr>
      <w:r>
        <w:rPr>
          <w:rFonts w:ascii="Times New Roman" w:hAnsi="Times New Roman" w:eastAsia="Times New Roman"/>
          <w:b/>
          <w:i w:val="0"/>
          <w:sz w:val="26"/>
        </w:rPr>
        <w:t>- 2022:</w:t>
      </w:r>
      <w:r>
        <w:rPr>
          <w:rFonts w:ascii="Times New Roman" w:hAnsi="Times New Roman" w:eastAsia="Times New Roman"/>
          <w:b w:val="0"/>
          <w:i w:val="0"/>
          <w:sz w:val="26"/>
        </w:rPr>
        <w:t xml:space="preserve"> 12,75 triệu lượt, số tiền 27.534,89 tỷ đồng</w:t>
      </w:r>
    </w:p>
    <w:p>
      <w:pPr>
        <w:spacing w:after="40" w:before="0"/>
        <w:ind w:firstLine="0"/>
        <w:jc w:val="left"/>
      </w:pPr>
      <w:r>
        <w:rPr>
          <w:rFonts w:ascii="Times New Roman" w:hAnsi="Times New Roman" w:eastAsia="Times New Roman"/>
          <w:b/>
          <w:i w:val="0"/>
          <w:sz w:val="26"/>
        </w:rPr>
        <w:t>- 2023:</w:t>
      </w:r>
      <w:r>
        <w:rPr>
          <w:rFonts w:ascii="Times New Roman" w:hAnsi="Times New Roman" w:eastAsia="Times New Roman"/>
          <w:b w:val="0"/>
          <w:i w:val="0"/>
          <w:sz w:val="26"/>
        </w:rPr>
        <w:t xml:space="preserve"> 15,76 triệu lượt, số tiền 31.766,22 tỷ đồng</w:t>
      </w:r>
    </w:p>
    <w:p>
      <w:pPr>
        <w:spacing w:after="40" w:before="0"/>
        <w:ind w:firstLine="0"/>
        <w:jc w:val="left"/>
      </w:pPr>
      <w:r>
        <w:rPr>
          <w:rFonts w:ascii="Times New Roman" w:hAnsi="Times New Roman" w:eastAsia="Times New Roman"/>
          <w:b/>
          <w:i w:val="0"/>
          <w:sz w:val="26"/>
        </w:rPr>
        <w:t>- 2024:</w:t>
      </w:r>
      <w:r>
        <w:rPr>
          <w:rFonts w:ascii="Times New Roman" w:hAnsi="Times New Roman" w:eastAsia="Times New Roman"/>
          <w:b w:val="0"/>
          <w:i w:val="0"/>
          <w:sz w:val="26"/>
        </w:rPr>
        <w:t xml:space="preserve"> 17,12 triệu lượt, số tiền 44.466,49 tỷ đồng</w:t>
      </w:r>
    </w:p>
    <w:p>
      <w:pPr>
        <w:spacing w:after="40" w:before="0"/>
        <w:ind w:firstLine="0"/>
        <w:jc w:val="left"/>
      </w:pPr>
      <w:r>
        <w:rPr>
          <w:rFonts w:ascii="Times New Roman" w:hAnsi="Times New Roman" w:eastAsia="Times New Roman"/>
          <w:b/>
          <w:i w:val="0"/>
          <w:sz w:val="26"/>
        </w:rPr>
        <w:t>- 2025 (đến tháng 5):</w:t>
      </w:r>
      <w:r>
        <w:rPr>
          <w:rFonts w:ascii="Times New Roman" w:hAnsi="Times New Roman" w:eastAsia="Times New Roman"/>
          <w:b w:val="0"/>
          <w:i w:val="0"/>
          <w:sz w:val="26"/>
        </w:rPr>
        <w:t xml:space="preserve"> đang tiếp tục tổng hợp 18,7 triệu lượt, số tiền ước tính 51.452,97 tỷ đồng</w:t>
      </w:r>
    </w:p>
    <w:p>
      <w:pPr>
        <w:spacing w:after="120" w:before="0"/>
        <w:ind w:firstLine="709"/>
        <w:jc w:val="left"/>
      </w:pPr>
      <w:r>
        <w:rPr>
          <w:rFonts w:ascii="Times New Roman" w:hAnsi="Times New Roman" w:eastAsia="Times New Roman"/>
          <w:b/>
          <w:i w:val="0"/>
          <w:sz w:val="26"/>
          <w:highlight w:val="yellow"/>
        </w:rPr>
        <w:t xml:space="preserve">Lũy kế từ 2017-2024: </w:t>
      </w:r>
      <w:r>
        <w:rPr>
          <w:rFonts w:ascii="Times New Roman" w:hAnsi="Times New Roman" w:eastAsia="Times New Roman"/>
          <w:b w:val="0"/>
          <w:i w:val="0"/>
          <w:sz w:val="26"/>
          <w:highlight w:val="yellow"/>
        </w:rPr>
        <w:t>hơn 107 triệu lượt KCB đa tuyến được thẩm định và thông báo với tổng chi phí trên 220.000 tỷ đồng</w:t>
      </w:r>
      <w:r>
        <w:rPr>
          <w:rFonts w:ascii="Times New Roman" w:hAnsi="Times New Roman" w:eastAsia="Times New Roman"/>
          <w:b w:val="0"/>
          <w:i w:val="0"/>
          <w:sz w:val="26"/>
          <w:highlight w:val="yellow"/>
        </w:rPr>
        <w:t xml:space="preserve"> — thực hiện đầy đủ, kịp thời, không để tồn đọng, bảo đảm quyền lợi cho người bệnh khám chữa bệnh vượt tuyến.</w:t>
      </w:r>
    </w:p>
    <w:p>
      <w:pPr>
        <w:spacing w:before="0" w:after="80"/>
        <w:jc w:val="left"/>
      </w:pPr>
      <w:r>
        <w:rPr>
          <w:rFonts w:ascii="Times New Roman" w:hAnsi="Times New Roman" w:eastAsia="Times New Roman"/>
          <w:b/>
          <w:i w:val="0"/>
          <w:sz w:val="26"/>
        </w:rPr>
        <w:t>* Về hướng dẫn, chỉ đạo BHXH các tỉnh thực hiện nghiệp vụ chuyên môn</w:t>
      </w:r>
    </w:p>
    <w:p>
      <w:pPr>
        <w:spacing w:before="0" w:after="120"/>
        <w:ind w:firstLine="709"/>
        <w:jc w:val="left"/>
      </w:pPr>
      <w:r>
        <w:rPr>
          <w:rFonts w:ascii="Times New Roman" w:hAnsi="Times New Roman" w:eastAsia="Times New Roman"/>
          <w:b w:val="0"/>
          <w:i w:val="0"/>
          <w:sz w:val="26"/>
        </w:rPr>
        <w:t>Chủ động tham mưu cho Thủ trưởng đơn vị và Lãnh đạo BHXH Việt Nam ban hành các văn bản hướng dẫn liên thông dữ liệu, chuẩn hóa danh mục, quản lý và khai thác thông tin trên Hệ thống; chỉ đạo BHXH các tỉnh, thành phố thực hiện đầy đủ quy trình giám định điện tử, quy định về liên thông nghiệp vụ. Hằng năm, tổ chức tập huấn, hỗ trợ giải quyết vướng mắc nghiệp vụ cho giám định viên toàn quốc.</w:t>
      </w:r>
    </w:p>
    <w:p>
      <w:pPr>
        <w:spacing w:before="0" w:after="80"/>
        <w:jc w:val="left"/>
      </w:pPr>
      <w:r>
        <w:rPr>
          <w:rFonts w:ascii="Times New Roman" w:hAnsi="Times New Roman" w:eastAsia="Times New Roman"/>
          <w:b/>
          <w:i w:val="0"/>
          <w:sz w:val="26"/>
        </w:rPr>
        <w:t>* Về công tác hợp tác quốc tế</w:t>
      </w:r>
    </w:p>
    <w:p>
      <w:pPr>
        <w:spacing w:after="120" w:before="0"/>
        <w:ind w:firstLine="709"/>
        <w:jc w:val="left"/>
      </w:pPr>
      <w:r>
        <w:rPr>
          <w:rFonts w:ascii="Times New Roman" w:hAnsi="Times New Roman" w:eastAsia="Times New Roman"/>
          <w:b w:val="0"/>
          <w:i w:val="0"/>
          <w:sz w:val="26"/>
        </w:rPr>
        <w:t xml:space="preserve">Trong quá trình công tác, tôi thường xuyên tham gia các hoạt động hợp tác với các tổ chức quốc tế WHO, World Bank, HIRA (Hàn Quốc), USAID, ILO, JICA (NTTData); thuyết trình về ứng dụng công nghệ và chuyển đổi số trong giám định, thanh toán BHYT tại Việt Nam. </w:t>
      </w:r>
      <w:r>
        <w:rPr>
          <w:rFonts w:ascii="Times New Roman" w:hAnsi="Times New Roman" w:eastAsia="Times New Roman"/>
          <w:b w:val="0"/>
          <w:i w:val="0"/>
          <w:sz w:val="26"/>
          <w:highlight w:val="yellow"/>
        </w:rPr>
        <w:t>Hệ thống thông tin giám định BHYT do tôi tham gia xây dựng và vận hành đã được Tổ chức An sinh xã hội quốc tế (ISSA) và Hiệp hội An sinh xã hội châu Á - Thái Bình Dương (ASSA) trao giải thưởng về đổi mới và ứng dụng công nghệ trong quản lý an sinh xã hội</w:t>
      </w:r>
      <w:r>
        <w:rPr>
          <w:rFonts w:ascii="Times New Roman" w:hAnsi="Times New Roman" w:eastAsia="Times New Roman"/>
          <w:b w:val="0"/>
          <w:i w:val="0"/>
          <w:sz w:val="26"/>
          <w:highlight w:val="yellow"/>
        </w:rPr>
        <w:t xml:space="preserve"> — khẳng định vị thế dẫn đầu của Việt Nam trong chuyển đổi số lĩnh vực BHYT trong khu vực.</w:t>
      </w:r>
    </w:p>
    <w:p>
      <w:pPr>
        <w:spacing w:before="0" w:after="80"/>
        <w:jc w:val="left"/>
      </w:pPr>
      <w:r>
        <w:rPr>
          <w:rFonts w:ascii="Times New Roman" w:hAnsi="Times New Roman" w:eastAsia="Times New Roman"/>
          <w:b/>
          <w:i w:val="0"/>
          <w:color w:val="C00000"/>
          <w:sz w:val="26"/>
        </w:rPr>
        <w:t>* Về công tác chuyển đổi số và ứng dụng trí tuệ nhân tạo</w:t>
      </w:r>
    </w:p>
    <w:p>
      <w:pPr>
        <w:spacing w:before="0" w:after="80"/>
        <w:ind w:firstLine="709"/>
        <w:jc w:val="left"/>
      </w:pPr>
      <w:r>
        <w:rPr>
          <w:rFonts w:ascii="Times New Roman" w:hAnsi="Times New Roman" w:eastAsia="Times New Roman"/>
          <w:b w:val="0"/>
          <w:i w:val="0"/>
          <w:color w:val="C00000"/>
          <w:sz w:val="26"/>
        </w:rPr>
        <w:t>Chuyển đổi số trong giám định, kiểm soát thanh toán BHYT là lĩnh vực tôi dành tâm huyết nhất và đạt được nhiều thành quả có tính tiên phong:</w:t>
      </w:r>
    </w:p>
    <w:p>
      <w:pPr>
        <w:spacing w:after="80" w:before="0"/>
        <w:ind w:firstLine="567"/>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Giai đoạn 2010-2016 (tiên phong):</w:t>
      </w:r>
      <w:r>
        <w:rPr>
          <w:rFonts w:ascii="Times New Roman" w:hAnsi="Times New Roman" w:eastAsia="Times New Roman"/>
          <w:b w:val="0"/>
          <w:i w:val="0"/>
          <w:sz w:val="26"/>
          <w:highlight w:val="yellow"/>
        </w:rPr>
        <w:t xml:space="preserve"> Ngay từ khi triển khai Luật BHYT số 25/2008/QH12 (năm 2010), bản thân đã chủ động ứng dụng CNTT trong thống kê, giám định chi phí KCB BHYT thông qua xây dựng phần mềm tổng hợp, thống kê tại BHXH Hà Nội và các cơ sở KCB — đặt nền móng cho mô hình giám định điện tử về sau.</w:t>
      </w:r>
    </w:p>
    <w:p>
      <w:pPr>
        <w:spacing w:after="80" w:before="0"/>
        <w:ind w:firstLine="567"/>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Giai đoạn 2016-2017 (kiến tạo Hệ thống):</w:t>
      </w:r>
      <w:r>
        <w:rPr>
          <w:rFonts w:ascii="Times New Roman" w:hAnsi="Times New Roman" w:eastAsia="Times New Roman"/>
          <w:b w:val="0"/>
          <w:i w:val="0"/>
          <w:sz w:val="26"/>
          <w:highlight w:val="yellow"/>
        </w:rPr>
        <w:t xml:space="preserve"> Tích cực tham gia xây dựng danh mục dùng chung, chuẩn dữ liệu đầu ra từ các cơ sở KCB và phân tích nghiệp vụ để xây dựng Hệ thống thông tin giám định BHYT toàn quốc. Khi Hệ thống vận hành từ đầu năm 2017, đây là bước đột phá lớn, lần đầu tiên liên thông, quản lý và giám định tự động dữ liệu KCB BHYT trên phạm vi toàn quốc.</w:t>
      </w:r>
    </w:p>
    <w:p>
      <w:pPr>
        <w:spacing w:after="80" w:before="0"/>
        <w:ind w:firstLine="567"/>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Giai đoạn 2017-2022 (mở rộng, tích hợp):</w:t>
      </w:r>
      <w:r>
        <w:rPr>
          <w:rFonts w:ascii="Times New Roman" w:hAnsi="Times New Roman" w:eastAsia="Times New Roman"/>
          <w:b w:val="0"/>
          <w:i w:val="0"/>
          <w:sz w:val="26"/>
          <w:highlight w:val="yellow"/>
        </w:rPr>
        <w:t xml:space="preserve"> Chủ trì phát triển hàng trăm chức năng mới, liên thông toàn bộ hệ sinh thái phần mềm nghiệp vụ BHXH; xây dựng Phần mềm Giám sát với bản đồ số và biểu đồ trực quan theo thời gian thực; ứng dụng AI phát hiện tách lượt KCB bất thường; thiết lập nền tảng phân tích dữ liệu lớn phục vụ kiểm soát quỹ BHYT.</w:t>
      </w:r>
    </w:p>
    <w:p>
      <w:pPr>
        <w:spacing w:after="80" w:before="0"/>
        <w:ind w:firstLine="567"/>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Giai đoạn 2022-nay (AI và tương lai):</w:t>
      </w:r>
      <w:r>
        <w:rPr>
          <w:rFonts w:ascii="Times New Roman" w:hAnsi="Times New Roman" w:eastAsia="Times New Roman"/>
          <w:b w:val="0"/>
          <w:i w:val="0"/>
          <w:sz w:val="26"/>
          <w:highlight w:val="yellow"/>
        </w:rPr>
        <w:t xml:space="preserve"> Nghiên cứu và thử nghiệm ứng dụng trí tuệ nhân tạo (AI) kết hợp nhận dạng ký tự quang học (AI-OCR) trong đối soát tự động các danh mục thuốc, thiết bị y tế, quy trình chuyên môn kỹ thuật — mở ra hướng giám định hoàn toàn tự động trong tương lai. Chủ nhiệm đề tài KHCN cấp cơ sở được Tổng Giám đốc BHXH Việt Nam công nhận kết quả (QĐ 12/QĐ-BHXH, ngày 08/01/2025).</w:t>
      </w:r>
    </w:p>
    <w:p>
      <w:pPr>
        <w:spacing w:before="0" w:after="80"/>
        <w:jc w:val="left"/>
      </w:pPr>
      <w:r>
        <w:rPr>
          <w:rFonts w:ascii="Times New Roman" w:hAnsi="Times New Roman" w:eastAsia="Times New Roman"/>
          <w:b/>
          <w:i w:val="0"/>
          <w:sz w:val="26"/>
        </w:rPr>
        <w:t>* Về công tác phối hợp với các đơn vị liên quan</w:t>
      </w:r>
    </w:p>
    <w:p>
      <w:pPr>
        <w:spacing w:before="0" w:after="80"/>
        <w:ind w:firstLine="709"/>
        <w:jc w:val="left"/>
      </w:pPr>
      <w:r>
        <w:rPr>
          <w:rFonts w:ascii="Times New Roman" w:hAnsi="Times New Roman" w:eastAsia="Times New Roman"/>
          <w:b w:val="0"/>
          <w:i w:val="0"/>
          <w:sz w:val="26"/>
        </w:rPr>
        <w:t>Theo sự phân công của Thủ trưởng đơn vị, tôi thường xuyên phối hợp chặt chẽ với các Vụ, Cục thuộc Bộ Y tế, Bộ Tài chính và các đơn vị trực thuộc BHXH Việt Nam để kiến nghị, đề xuất giải quyết vướng mắc trong tổ chức thực hiện các quy định pháp luật; tham gia xây dựng các văn bản quy phạm pháp luật liên quan đến giám định, thanh toán BHYT.</w:t>
      </w:r>
    </w:p>
    <w:p>
      <w:pPr>
        <w:spacing w:before="0" w:after="120"/>
        <w:ind w:firstLine="709"/>
        <w:jc w:val="left"/>
      </w:pPr>
      <w:r>
        <w:rPr>
          <w:rFonts w:ascii="Times New Roman" w:hAnsi="Times New Roman" w:eastAsia="Times New Roman"/>
          <w:b w:val="0"/>
          <w:i w:val="0"/>
          <w:color w:val="C00000"/>
          <w:sz w:val="26"/>
        </w:rPr>
        <w:t>Đặc biệt, tôi đã trực tiếp tham gia tổ công tác liên bộ, tham mưu xây dựng Thông tư số 12/2026/TT-BTC ngày 10/02/2026 của Bộ Tài chính về giám định chi phí KCB BHYT — văn bản pháp lý quan trọng nhất trong lĩnh vực này sau Nghị định số 188/2025/NĐ-CP.</w:t>
      </w:r>
    </w:p>
    <w:p>
      <w:pPr>
        <w:spacing w:before="0" w:after="80"/>
        <w:jc w:val="left"/>
      </w:pPr>
      <w:r>
        <w:rPr>
          <w:rFonts w:ascii="Times New Roman" w:hAnsi="Times New Roman" w:eastAsia="Times New Roman"/>
          <w:b/>
          <w:i w:val="0"/>
          <w:sz w:val="26"/>
        </w:rPr>
        <w:t>* Về công tác đào tạo, nghiên cứu khoa học và chuyển đổi số</w:t>
      </w:r>
    </w:p>
    <w:p>
      <w:pPr>
        <w:spacing w:before="0" w:after="60"/>
        <w:ind w:firstLine="0"/>
        <w:jc w:val="left"/>
      </w:pPr>
      <w:r>
        <w:rPr>
          <w:rFonts w:ascii="Times New Roman" w:hAnsi="Times New Roman" w:eastAsia="Times New Roman"/>
          <w:b w:val="0"/>
          <w:i w:val="0"/>
          <w:sz w:val="26"/>
        </w:rPr>
        <w:t>- Đào tạo: Hằng năm tham mưu xây dựng chương trình bồi dưỡng, tập huấn về phân tích dữ liệu KCB BHYT cho giám định viên toàn quốc; tham gia xây dựng tài liệu và trực tiếp giảng dạy nghiệp vụ.</w:t>
      </w:r>
    </w:p>
    <w:p>
      <w:pPr>
        <w:spacing w:before="0" w:after="60"/>
        <w:ind w:firstLine="0"/>
        <w:jc w:val="left"/>
      </w:pPr>
      <w:r>
        <w:rPr>
          <w:rFonts w:ascii="Times New Roman" w:hAnsi="Times New Roman" w:eastAsia="Times New Roman"/>
          <w:b w:val="0"/>
          <w:i w:val="0"/>
          <w:sz w:val="26"/>
        </w:rPr>
        <w:t>- Nghiên cứu khoa học: Tham gia nhiệm vụ KHCN cấp Bộ "Hoàn thiện quy trình giám định BHYT" (công nhận theo QĐ 1104/QĐ-BHXH, ngày 22/4/2022); Chủ nhiệm đề tài cấp cơ sở "Nghiên cứu giải pháp ứng dụng công nghệ nhận dạng ký tự quang học trong công tác giám định BHYT" (công nhận theo QĐ 12/QĐ-BHXH, ngày 08/01/2025).</w:t>
      </w:r>
    </w:p>
    <w:p>
      <w:pPr>
        <w:spacing w:before="0" w:after="120"/>
        <w:ind w:firstLine="0"/>
        <w:jc w:val="left"/>
      </w:pPr>
      <w:r>
        <w:rPr>
          <w:rFonts w:ascii="Times New Roman" w:hAnsi="Times New Roman" w:eastAsia="Times New Roman"/>
          <w:b w:val="0"/>
          <w:i w:val="0"/>
          <w:sz w:val="26"/>
        </w:rPr>
        <w:t>- Kết quả: Các nghiên cứu khoa học được đưa vào ứng dụng thực tiễn, góp phần nâng cao chất lượng và hiệu quả giám định BHYT trên phạm vi toàn quốc.</w:t>
      </w:r>
    </w:p>
    <w:p>
      <w:pPr>
        <w:spacing w:before="0" w:after="80"/>
        <w:jc w:val="left"/>
      </w:pPr>
      <w:r>
        <w:rPr>
          <w:rFonts w:ascii="Times New Roman" w:hAnsi="Times New Roman" w:eastAsia="Times New Roman"/>
          <w:b/>
          <w:i w:val="0"/>
          <w:sz w:val="26"/>
        </w:rPr>
        <w:t>c) Sáng kiến, đề tài nghiên cứu khoa học được áp dụng vào thực tiễn đạt hiệu quả cụ thể</w:t>
      </w:r>
    </w:p>
    <w:p>
      <w:pPr>
        <w:spacing w:after="80" w:before="0"/>
        <w:ind w:firstLine="709"/>
        <w:jc w:val="left"/>
      </w:pPr>
      <w:r>
        <w:rPr>
          <w:rFonts w:ascii="Times New Roman" w:hAnsi="Times New Roman" w:eastAsia="Times New Roman"/>
          <w:b w:val="0"/>
          <w:i w:val="0"/>
          <w:sz w:val="26"/>
          <w:highlight w:val="yellow"/>
        </w:rPr>
        <w:t xml:space="preserve">Trong giai đoạn 2016-2026, bản thân tôi đã </w:t>
      </w:r>
      <w:r>
        <w:rPr>
          <w:rFonts w:ascii="Times New Roman" w:hAnsi="Times New Roman" w:eastAsia="Times New Roman"/>
          <w:b/>
          <w:i w:val="0"/>
          <w:sz w:val="26"/>
          <w:highlight w:val="yellow"/>
        </w:rPr>
        <w:t>chủ trì hoặc tham gia 08 sáng kiến và đề tài KHCN từ cấp cơ sở đến cấp Bộ</w:t>
      </w:r>
      <w:r>
        <w:rPr>
          <w:rFonts w:ascii="Times New Roman" w:hAnsi="Times New Roman" w:eastAsia="Times New Roman"/>
          <w:b w:val="0"/>
          <w:i w:val="0"/>
          <w:sz w:val="26"/>
          <w:highlight w:val="yellow"/>
        </w:rPr>
        <w:t>, tất cả đều được ứng dụng vào thực tiễn, phát huy hiệu quả rõ nét trong toàn hệ thống BHXH Việt Nam:</w:t>
      </w:r>
    </w:p>
    <w:p>
      <w:pPr>
        <w:spacing w:after="60" w:before="0"/>
        <w:ind w:firstLine="283"/>
        <w:jc w:val="left"/>
      </w:pPr>
      <w:r>
        <w:rPr>
          <w:rFonts w:ascii="Times New Roman" w:hAnsi="Times New Roman" w:eastAsia="Times New Roman"/>
          <w:b w:val="0"/>
          <w:i w:val="0"/>
          <w:sz w:val="26"/>
        </w:rPr>
        <w:t xml:space="preserve">▪ </w:t>
      </w:r>
      <w:r>
        <w:rPr>
          <w:rFonts w:ascii="Times New Roman" w:hAnsi="Times New Roman" w:eastAsia="Times New Roman"/>
          <w:b/>
          <w:i w:val="0"/>
          <w:sz w:val="26"/>
        </w:rPr>
        <w:t>Năm 2018 – Sáng kiến cấp Ngành:</w:t>
      </w:r>
      <w:r>
        <w:rPr>
          <w:rFonts w:ascii="Times New Roman" w:hAnsi="Times New Roman" w:eastAsia="Times New Roman"/>
          <w:b w:val="0"/>
          <w:i w:val="0"/>
          <w:sz w:val="26"/>
        </w:rPr>
        <w:t xml:space="preserve"> "Liên thông quản lý chi KCB BHYT trên các phần mềm nghiệp vụ" — công nhận theo QĐ 233/QĐ-BHXH ngày 26/02/2019.</w:t>
      </w:r>
    </w:p>
    <w:p>
      <w:pPr>
        <w:spacing w:after="80" w:before="0"/>
        <w:ind w:left="567"/>
        <w:jc w:val="left"/>
      </w:pPr>
      <w:r>
        <w:rPr>
          <w:rFonts w:ascii="Times New Roman" w:hAnsi="Times New Roman" w:eastAsia="Times New Roman"/>
          <w:b/>
          <w:i w:val="0"/>
          <w:sz w:val="26"/>
        </w:rPr>
        <w:t xml:space="preserve">  Nội dung &amp; Hiệu quả: </w:t>
      </w:r>
      <w:r>
        <w:rPr>
          <w:rFonts w:ascii="Times New Roman" w:hAnsi="Times New Roman" w:eastAsia="Times New Roman"/>
          <w:b w:val="0"/>
          <w:i w:val="0"/>
          <w:sz w:val="26"/>
        </w:rPr>
        <w:t>Tích hợp toàn bộ quy trình nghiệp vụ quản lý KCB BHYT (giám định, thu, sổ thẻ, kế toán) thành hệ sinh thái phần mềm liên thông; áp dụng trong toàn Ngành tại tất cả BHXH cấp tỉnh, huyện; nâng cao hiệu lực, hiệu quả quản lý tài chính BHXH.</w:t>
      </w:r>
    </w:p>
    <w:p>
      <w:pPr>
        <w:spacing w:after="60" w:before="0"/>
        <w:ind w:firstLine="283"/>
        <w:jc w:val="left"/>
      </w:pPr>
      <w:r>
        <w:rPr>
          <w:rFonts w:ascii="Times New Roman" w:hAnsi="Times New Roman" w:eastAsia="Times New Roman"/>
          <w:b w:val="0"/>
          <w:i w:val="0"/>
          <w:sz w:val="26"/>
        </w:rPr>
        <w:t xml:space="preserve">▪ </w:t>
      </w:r>
      <w:r>
        <w:rPr>
          <w:rFonts w:ascii="Times New Roman" w:hAnsi="Times New Roman" w:eastAsia="Times New Roman"/>
          <w:b/>
          <w:i w:val="0"/>
          <w:sz w:val="26"/>
        </w:rPr>
        <w:t>Năm 2020 – Sáng kiến cấp cơ sở:</w:t>
      </w:r>
      <w:r>
        <w:rPr>
          <w:rFonts w:ascii="Times New Roman" w:hAnsi="Times New Roman" w:eastAsia="Times New Roman"/>
          <w:b w:val="0"/>
          <w:i w:val="0"/>
          <w:sz w:val="26"/>
        </w:rPr>
        <w:t xml:space="preserve"> "Xây dựng bản đồ theo dõi người mắc các bệnh nền phục vụ phòng chống dịch Covid-19" — công nhận theo QĐ 29/QĐ-GĐĐT ngày 29/12/2020.</w:t>
      </w:r>
    </w:p>
    <w:p>
      <w:pPr>
        <w:spacing w:after="80" w:before="0"/>
        <w:ind w:left="567"/>
        <w:jc w:val="left"/>
      </w:pPr>
      <w:r>
        <w:rPr>
          <w:rFonts w:ascii="Times New Roman" w:hAnsi="Times New Roman" w:eastAsia="Times New Roman"/>
          <w:b/>
          <w:i w:val="0"/>
          <w:sz w:val="26"/>
        </w:rPr>
        <w:t xml:space="preserve">  Nội dung &amp; Hiệu quả: </w:t>
      </w:r>
      <w:r>
        <w:rPr>
          <w:rFonts w:ascii="Times New Roman" w:hAnsi="Times New Roman" w:eastAsia="Times New Roman"/>
          <w:b w:val="0"/>
          <w:i w:val="0"/>
          <w:sz w:val="26"/>
        </w:rPr>
        <w:t>Cung cấp dữ liệu thực thời về người mắc bệnh nền theo địa bàn, hỗ trợ Ban Chỉ đạo phòng chống dịch quốc gia đưa ra quyết sách kịp thời trong đỉnh dịch Covid-19; đề xuất xây dựng thành 02 chức năng thống kê dữ liệu trên Hệ thống.</w:t>
      </w:r>
    </w:p>
    <w:p>
      <w:pPr>
        <w:spacing w:after="60" w:before="0"/>
        <w:ind w:firstLine="283"/>
        <w:jc w:val="left"/>
      </w:pPr>
      <w:r>
        <w:rPr>
          <w:rFonts w:ascii="Times New Roman" w:hAnsi="Times New Roman" w:eastAsia="Times New Roman"/>
          <w:b w:val="0"/>
          <w:i w:val="0"/>
          <w:sz w:val="26"/>
        </w:rPr>
        <w:t xml:space="preserve">▪ </w:t>
      </w:r>
      <w:r>
        <w:rPr>
          <w:rFonts w:ascii="Times New Roman" w:hAnsi="Times New Roman" w:eastAsia="Times New Roman"/>
          <w:b/>
          <w:i w:val="0"/>
          <w:sz w:val="26"/>
        </w:rPr>
        <w:t>Năm 2021 – Sáng kiến cấp cơ sở:</w:t>
      </w:r>
      <w:r>
        <w:rPr>
          <w:rFonts w:ascii="Times New Roman" w:hAnsi="Times New Roman" w:eastAsia="Times New Roman"/>
          <w:b w:val="0"/>
          <w:i w:val="0"/>
          <w:sz w:val="26"/>
        </w:rPr>
        <w:t xml:space="preserve"> "Xây dựng công cụ xác định quỹ và giám sát chi KCB BHYT theo phương thức định suất" — công nhận theo QĐ 33/QĐ-GĐĐT ngày 08/11/2021.</w:t>
      </w:r>
    </w:p>
    <w:p>
      <w:pPr>
        <w:spacing w:after="80" w:before="0"/>
        <w:ind w:left="567"/>
        <w:jc w:val="left"/>
      </w:pPr>
      <w:r>
        <w:rPr>
          <w:rFonts w:ascii="Times New Roman" w:hAnsi="Times New Roman" w:eastAsia="Times New Roman"/>
          <w:b/>
          <w:i w:val="0"/>
          <w:sz w:val="26"/>
        </w:rPr>
        <w:t xml:space="preserve">  Nội dung &amp; Hiệu quả: </w:t>
      </w:r>
      <w:r>
        <w:rPr>
          <w:rFonts w:ascii="Times New Roman" w:hAnsi="Times New Roman" w:eastAsia="Times New Roman"/>
          <w:b w:val="0"/>
          <w:i w:val="0"/>
          <w:sz w:val="26"/>
        </w:rPr>
        <w:t>Rút ngắn đáng kể thời gian và nhân lực tính toán quỹ định suất theo TT 04/2021/TT-BYT; xây dựng 15 bản đồ trên phần mềm Giám sát hỗ trợ BHXH tỉnh theo dõi thực thi thanh toán định suất trực quan, thời gian thực.</w:t>
      </w:r>
    </w:p>
    <w:p>
      <w:pPr>
        <w:spacing w:after="60" w:before="0"/>
        <w:ind w:firstLine="283"/>
        <w:jc w:val="left"/>
      </w:pPr>
      <w:r>
        <w:rPr>
          <w:rFonts w:ascii="Times New Roman" w:hAnsi="Times New Roman" w:eastAsia="Times New Roman"/>
          <w:b w:val="0"/>
          <w:i w:val="0"/>
          <w:sz w:val="26"/>
        </w:rPr>
        <w:t xml:space="preserve">▪ </w:t>
      </w:r>
      <w:r>
        <w:rPr>
          <w:rFonts w:ascii="Times New Roman" w:hAnsi="Times New Roman" w:eastAsia="Times New Roman"/>
          <w:b/>
          <w:i w:val="0"/>
          <w:sz w:val="26"/>
        </w:rPr>
        <w:t>Năm 2022a – Sáng kiến cấp cơ sở:</w:t>
      </w:r>
      <w:r>
        <w:rPr>
          <w:rFonts w:ascii="Times New Roman" w:hAnsi="Times New Roman" w:eastAsia="Times New Roman"/>
          <w:b w:val="0"/>
          <w:i w:val="0"/>
          <w:sz w:val="26"/>
        </w:rPr>
        <w:t xml:space="preserve"> "Xây dựng chức năng cấu hình nhóm tỉnh trên phần mềm Giám sát" — công nhận theo QĐ 27/QĐ-GĐĐT ngày 09/11/2022.</w:t>
      </w:r>
    </w:p>
    <w:p>
      <w:pPr>
        <w:spacing w:after="80" w:before="0"/>
        <w:ind w:left="567"/>
        <w:jc w:val="left"/>
      </w:pPr>
      <w:r>
        <w:rPr>
          <w:rFonts w:ascii="Times New Roman" w:hAnsi="Times New Roman" w:eastAsia="Times New Roman"/>
          <w:b/>
          <w:i w:val="0"/>
          <w:sz w:val="26"/>
        </w:rPr>
        <w:t xml:space="preserve">  Nội dung &amp; Hiệu quả: </w:t>
      </w:r>
      <w:r>
        <w:rPr>
          <w:rFonts w:ascii="Times New Roman" w:hAnsi="Times New Roman" w:eastAsia="Times New Roman"/>
          <w:b w:val="0"/>
          <w:i w:val="0"/>
          <w:sz w:val="26"/>
        </w:rPr>
        <w:t>Cho phép cán bộ BHXH Việt Nam tùy chỉnh nhóm tỉnh giám sát theo chuyên đề hoặc vùng công tác; giảm đáng kể thời gian lọc, tổng hợp số liệu trong các đợt kiểm tra theo cụm, vùng.</w:t>
      </w:r>
    </w:p>
    <w:p>
      <w:pPr>
        <w:spacing w:after="60" w:before="0"/>
        <w:ind w:firstLine="283"/>
        <w:jc w:val="left"/>
      </w:pPr>
      <w:r>
        <w:rPr>
          <w:rFonts w:ascii="Times New Roman" w:hAnsi="Times New Roman" w:eastAsia="Times New Roman"/>
          <w:b w:val="0"/>
          <w:i w:val="0"/>
          <w:sz w:val="26"/>
        </w:rPr>
        <w:t xml:space="preserve">▪ </w:t>
      </w:r>
      <w:r>
        <w:rPr>
          <w:rFonts w:ascii="Times New Roman" w:hAnsi="Times New Roman" w:eastAsia="Times New Roman"/>
          <w:b/>
          <w:i w:val="0"/>
          <w:sz w:val="26"/>
        </w:rPr>
        <w:t>Năm 2022b – Nhiệm vụ KHCN cấp Bộ:</w:t>
      </w:r>
      <w:r>
        <w:rPr>
          <w:rFonts w:ascii="Times New Roman" w:hAnsi="Times New Roman" w:eastAsia="Times New Roman"/>
          <w:b w:val="0"/>
          <w:i w:val="0"/>
          <w:sz w:val="26"/>
        </w:rPr>
        <w:t xml:space="preserve"> "Hoàn thiện quy trình giám định bảo hiểm y tế" — công nhận theo QĐ 1104/QĐ-BHXH ngày 22/4/2022.</w:t>
      </w:r>
    </w:p>
    <w:p>
      <w:pPr>
        <w:spacing w:after="80" w:before="0"/>
        <w:ind w:left="567"/>
        <w:jc w:val="left"/>
      </w:pPr>
      <w:r>
        <w:rPr>
          <w:rFonts w:ascii="Times New Roman" w:hAnsi="Times New Roman" w:eastAsia="Times New Roman"/>
          <w:b/>
          <w:i w:val="0"/>
          <w:sz w:val="26"/>
        </w:rPr>
        <w:t xml:space="preserve">  Nội dung &amp; Hiệu quả: </w:t>
      </w:r>
      <w:r>
        <w:rPr>
          <w:rFonts w:ascii="Times New Roman" w:hAnsi="Times New Roman" w:eastAsia="Times New Roman"/>
          <w:b w:val="0"/>
          <w:i w:val="0"/>
          <w:sz w:val="26"/>
        </w:rPr>
        <w:t>Kết quả: Ban hành Quy trình giám định BHYT mới (QĐ 3618/QĐ-BHXH, ngày 12/12/2022) thay thế quy trình cũ sau hơn 5 năm; chuẩn hóa đầy đủ chức năng, trách nhiệm các cấp trong giám định điện tử; đáp ứng các quy định mới của Luật BHYT và các Nghị định, Thông tư liên quan.</w:t>
      </w:r>
    </w:p>
    <w:p>
      <w:pPr>
        <w:spacing w:after="60" w:before="0"/>
        <w:ind w:firstLine="283"/>
        <w:jc w:val="left"/>
      </w:pPr>
      <w:r>
        <w:rPr>
          <w:rFonts w:ascii="Times New Roman" w:hAnsi="Times New Roman" w:eastAsia="Times New Roman"/>
          <w:b w:val="0"/>
          <w:i w:val="0"/>
          <w:sz w:val="26"/>
        </w:rPr>
        <w:t xml:space="preserve">▪ </w:t>
      </w:r>
      <w:r>
        <w:rPr>
          <w:rFonts w:ascii="Times New Roman" w:hAnsi="Times New Roman" w:eastAsia="Times New Roman"/>
          <w:b/>
          <w:i w:val="0"/>
          <w:sz w:val="26"/>
        </w:rPr>
        <w:t>Năm 2023 – Sáng kiến cấp cơ sở:</w:t>
      </w:r>
      <w:r>
        <w:rPr>
          <w:rFonts w:ascii="Times New Roman" w:hAnsi="Times New Roman" w:eastAsia="Times New Roman"/>
          <w:b w:val="0"/>
          <w:i w:val="0"/>
          <w:sz w:val="26"/>
        </w:rPr>
        <w:t xml:space="preserve"> "Xây dựng giải pháp, công cụ lập báo cáo quyết toán để đảm bảo tiến độ quyết toán trong thời gian chờ hoàn thiện phần mềm Giám định" — công nhận theo QĐ 20/QĐ-GĐĐT ngày 03/11/2023.</w:t>
      </w:r>
    </w:p>
    <w:p>
      <w:pPr>
        <w:spacing w:after="80" w:before="0"/>
        <w:ind w:left="567"/>
        <w:jc w:val="left"/>
      </w:pPr>
      <w:r>
        <w:rPr>
          <w:rFonts w:ascii="Times New Roman" w:hAnsi="Times New Roman" w:eastAsia="Times New Roman"/>
          <w:b/>
          <w:i w:val="0"/>
          <w:sz w:val="26"/>
        </w:rPr>
        <w:t xml:space="preserve">  Nội dung &amp; Hiệu quả: </w:t>
      </w:r>
      <w:r>
        <w:rPr>
          <w:rFonts w:ascii="Times New Roman" w:hAnsi="Times New Roman" w:eastAsia="Times New Roman"/>
          <w:b w:val="0"/>
          <w:i w:val="0"/>
          <w:sz w:val="26"/>
        </w:rPr>
        <w:t>Rút ngắn quy trình tổng hợp, xuất kết quả giám định theo định dạng 3360b và mẫu C80-HD, C82-HD, thông báo sai sót tự động lên Phần mềm Giám sát; bảo đảm tiến độ quyết toán BHYT toàn quốc trong thời điểm chuyển tiếp hệ thống.</w:t>
      </w:r>
    </w:p>
    <w:p>
      <w:pPr>
        <w:spacing w:after="60" w:before="0"/>
        <w:ind w:firstLine="283"/>
        <w:jc w:val="left"/>
      </w:pPr>
      <w:r>
        <w:rPr>
          <w:rFonts w:ascii="Times New Roman" w:hAnsi="Times New Roman" w:eastAsia="Times New Roman"/>
          <w:b w:val="0"/>
          <w:i w:val="0"/>
          <w:sz w:val="26"/>
        </w:rPr>
        <w:t xml:space="preserve">▪ </w:t>
      </w:r>
      <w:r>
        <w:rPr>
          <w:rFonts w:ascii="Times New Roman" w:hAnsi="Times New Roman" w:eastAsia="Times New Roman"/>
          <w:b/>
          <w:i w:val="0"/>
          <w:sz w:val="26"/>
        </w:rPr>
        <w:t>Năm 2024 – Sáng kiến cấp cơ sở:</w:t>
      </w:r>
      <w:r>
        <w:rPr>
          <w:rFonts w:ascii="Times New Roman" w:hAnsi="Times New Roman" w:eastAsia="Times New Roman"/>
          <w:b w:val="0"/>
          <w:i w:val="0"/>
          <w:sz w:val="26"/>
        </w:rPr>
        <w:t xml:space="preserve"> "Xây dựng công cụ cảnh báo gia tăng chi phí KCB theo Nghị định 75/2023/NĐ-CP trên phần mềm Giám sát" — công nhận theo QĐ 24/QĐ-GĐĐT ngày 29/10/2024.</w:t>
      </w:r>
    </w:p>
    <w:p>
      <w:pPr>
        <w:spacing w:after="80" w:before="0"/>
        <w:ind w:left="567"/>
        <w:jc w:val="left"/>
      </w:pPr>
      <w:r>
        <w:rPr>
          <w:rFonts w:ascii="Times New Roman" w:hAnsi="Times New Roman" w:eastAsia="Times New Roman"/>
          <w:b/>
          <w:i w:val="0"/>
          <w:sz w:val="26"/>
        </w:rPr>
        <w:t xml:space="preserve">  Nội dung &amp; Hiệu quả: </w:t>
      </w:r>
      <w:r>
        <w:rPr>
          <w:rFonts w:ascii="Times New Roman" w:hAnsi="Times New Roman" w:eastAsia="Times New Roman"/>
          <w:b w:val="0"/>
          <w:i w:val="0"/>
          <w:sz w:val="26"/>
        </w:rPr>
        <w:t>Tự động tổng hợp và so sánh chi phí KCB của từng cơ sở y tế với kỳ trước, cơ sở cùng hạng cùng tuyến, theo địa bàn và toàn quốc; hỗ trợ BHXH phát hiện và cảnh báo kịp thời các cơ sở có chi phí gia tăng bất thường; giảm đáng kể thời gian phân tích thủ công.</w:t>
      </w:r>
    </w:p>
    <w:p>
      <w:pPr>
        <w:spacing w:after="60" w:before="0"/>
        <w:ind w:firstLine="283"/>
        <w:jc w:val="left"/>
      </w:pPr>
      <w:r>
        <w:rPr>
          <w:rFonts w:ascii="Times New Roman" w:hAnsi="Times New Roman" w:eastAsia="Times New Roman"/>
          <w:b w:val="0"/>
          <w:i w:val="0"/>
          <w:sz w:val="26"/>
        </w:rPr>
        <w:t xml:space="preserve">▪ </w:t>
      </w:r>
      <w:r>
        <w:rPr>
          <w:rFonts w:ascii="Times New Roman" w:hAnsi="Times New Roman" w:eastAsia="Times New Roman"/>
          <w:b/>
          <w:i w:val="0"/>
          <w:sz w:val="26"/>
        </w:rPr>
        <w:t>Năm 2025a – Nhiệm vụ KHCN cấp cơ sở (Chủ nhiệm):</w:t>
      </w:r>
      <w:r>
        <w:rPr>
          <w:rFonts w:ascii="Times New Roman" w:hAnsi="Times New Roman" w:eastAsia="Times New Roman"/>
          <w:b w:val="0"/>
          <w:i w:val="0"/>
          <w:sz w:val="26"/>
        </w:rPr>
        <w:t xml:space="preserve"> "Nghiên cứu giải pháp ứng dụng công nghệ AI-OCR trong giám định BHYT" — công nhận theo QĐ 12/QĐ-BHXH ngày 08/01/2025.</w:t>
      </w:r>
    </w:p>
    <w:p>
      <w:pPr>
        <w:spacing w:after="80" w:before="0"/>
        <w:ind w:left="567"/>
        <w:jc w:val="left"/>
      </w:pPr>
      <w:r>
        <w:rPr>
          <w:rFonts w:ascii="Times New Roman" w:hAnsi="Times New Roman" w:eastAsia="Times New Roman"/>
          <w:b/>
          <w:i w:val="0"/>
          <w:sz w:val="26"/>
        </w:rPr>
        <w:t xml:space="preserve">  Nội dung &amp; Hiệu quả: </w:t>
      </w:r>
      <w:r>
        <w:rPr>
          <w:rFonts w:ascii="Times New Roman" w:hAnsi="Times New Roman" w:eastAsia="Times New Roman"/>
          <w:b w:val="0"/>
          <w:i w:val="0"/>
          <w:sz w:val="26"/>
        </w:rPr>
        <w:t>Nghiên cứu và xây dựng giải pháp ứng dụng AI kết hợp nhận dạng ký tự quang học để kiểm tra tự động quy trình chuyên môn kỹ thuật, danh mục thuốc, DVKT tại các cơ sở KCB; mở ra hướng giám định hoàn toàn tự động trong tương lai gần.</w:t>
      </w:r>
    </w:p>
    <w:p>
      <w:pPr>
        <w:spacing w:after="60" w:before="0"/>
        <w:ind w:firstLine="283"/>
        <w:jc w:val="left"/>
      </w:pPr>
      <w:r>
        <w:rPr>
          <w:rFonts w:ascii="Times New Roman" w:hAnsi="Times New Roman" w:eastAsia="Times New Roman"/>
          <w:b w:val="0"/>
          <w:i w:val="0"/>
          <w:sz w:val="26"/>
        </w:rPr>
        <w:t xml:space="preserve">▪ </w:t>
      </w:r>
      <w:r>
        <w:rPr>
          <w:rFonts w:ascii="Times New Roman" w:hAnsi="Times New Roman" w:eastAsia="Times New Roman"/>
          <w:b/>
          <w:i w:val="0"/>
          <w:sz w:val="26"/>
        </w:rPr>
        <w:t>Năm 2025b – Sáng kiến cấp cơ sở:</w:t>
      </w:r>
      <w:r>
        <w:rPr>
          <w:rFonts w:ascii="Times New Roman" w:hAnsi="Times New Roman" w:eastAsia="Times New Roman"/>
          <w:b w:val="0"/>
          <w:i w:val="0"/>
          <w:sz w:val="26"/>
        </w:rPr>
        <w:t xml:space="preserve"> "Xây dựng công cụ công bố số lượng thuốc, thiết bị y tế chưa sử dụng hết theo Nghị định 188/2025/NĐ-CP" — công nhận theo QĐ 04/QĐ-TTKS.</w:t>
      </w:r>
    </w:p>
    <w:p>
      <w:pPr>
        <w:spacing w:after="80" w:before="0"/>
        <w:ind w:left="567"/>
        <w:jc w:val="left"/>
      </w:pPr>
      <w:r>
        <w:rPr>
          <w:rFonts w:ascii="Times New Roman" w:hAnsi="Times New Roman" w:eastAsia="Times New Roman"/>
          <w:b/>
          <w:i w:val="0"/>
          <w:sz w:val="26"/>
        </w:rPr>
        <w:t xml:space="preserve">  Nội dung &amp; Hiệu quả: </w:t>
      </w:r>
      <w:r>
        <w:rPr>
          <w:rFonts w:ascii="Times New Roman" w:hAnsi="Times New Roman" w:eastAsia="Times New Roman"/>
          <w:b w:val="0"/>
          <w:i w:val="0"/>
          <w:sz w:val="26"/>
        </w:rPr>
        <w:t>Cung cấp công khai dữ liệu thuốc/TTBYT chưa sử dụng hết theo kết quả đấu thầu, tạo cơ sở để các cơ sở KCB đề nghị điều chuyển theo đúng quy định Nghị định 188/2025/NĐ-CP.</w:t>
      </w:r>
    </w:p>
    <w:p>
      <w:pPr>
        <w:spacing w:after="60" w:before="0"/>
        <w:ind w:firstLine="283"/>
        <w:jc w:val="left"/>
      </w:pPr>
      <w:r>
        <w:rPr>
          <w:rFonts w:ascii="Times New Roman" w:hAnsi="Times New Roman" w:eastAsia="Times New Roman"/>
          <w:b w:val="0"/>
          <w:i w:val="0"/>
          <w:sz w:val="26"/>
        </w:rPr>
        <w:t xml:space="preserve">▪ </w:t>
      </w:r>
      <w:r>
        <w:rPr>
          <w:rFonts w:ascii="Times New Roman" w:hAnsi="Times New Roman" w:eastAsia="Times New Roman"/>
          <w:b/>
          <w:i w:val="0"/>
          <w:sz w:val="26"/>
        </w:rPr>
        <w:t>Năm 2025c – Sáng kiến cấp cơ sở:</w:t>
      </w:r>
      <w:r>
        <w:rPr>
          <w:rFonts w:ascii="Times New Roman" w:hAnsi="Times New Roman" w:eastAsia="Times New Roman"/>
          <w:b w:val="0"/>
          <w:i w:val="0"/>
          <w:sz w:val="26"/>
        </w:rPr>
        <w:t xml:space="preserve"> "Xây dựng chức năng thống kê tình hình KCB theo đơn vị tham gia BHXH" — công nhận theo QĐ 04/QĐ-TTKS ngày 04/2/2026.</w:t>
      </w:r>
    </w:p>
    <w:p>
      <w:pPr>
        <w:spacing w:after="80" w:before="0"/>
        <w:ind w:left="567"/>
        <w:jc w:val="left"/>
      </w:pPr>
      <w:r>
        <w:rPr>
          <w:rFonts w:ascii="Times New Roman" w:hAnsi="Times New Roman" w:eastAsia="Times New Roman"/>
          <w:b/>
          <w:i w:val="0"/>
          <w:sz w:val="26"/>
        </w:rPr>
        <w:t xml:space="preserve">  Nội dung &amp; Hiệu quả: </w:t>
      </w:r>
      <w:r>
        <w:rPr>
          <w:rFonts w:ascii="Times New Roman" w:hAnsi="Times New Roman" w:eastAsia="Times New Roman"/>
          <w:b w:val="0"/>
          <w:i w:val="0"/>
          <w:sz w:val="26"/>
        </w:rPr>
        <w:t>Lần đầu tiên cho phép thống kê KCB theo đơn vị tham gia BHXH (không chỉ theo tỉnh/cơ sở KCB); phát hiện các dấu hiệu gian lận tinh vi từ nhóm người lao động của cùng một đơn vị; tăng cường đáng kể năng lực phân tích chống trục lợi quỹ BHYT.</w:t>
      </w:r>
    </w:p>
    <w:p>
      <w:pPr>
        <w:spacing w:after="160" w:before="0"/>
        <w:ind w:firstLine="709"/>
        <w:jc w:val="left"/>
      </w:pPr>
      <w:r>
        <w:rPr>
          <w:rFonts w:ascii="Times New Roman" w:hAnsi="Times New Roman" w:eastAsia="Times New Roman"/>
          <w:b/>
          <w:i w:val="0"/>
          <w:sz w:val="26"/>
          <w:highlight w:val="yellow"/>
        </w:rPr>
        <w:t xml:space="preserve">→ Tổng cộng: </w:t>
      </w:r>
      <w:r>
        <w:rPr>
          <w:rFonts w:ascii="Times New Roman" w:hAnsi="Times New Roman" w:eastAsia="Times New Roman"/>
          <w:b/>
          <w:i w:val="0"/>
          <w:sz w:val="26"/>
          <w:highlight w:val="yellow"/>
        </w:rPr>
        <w:t>10 sáng kiến/đề tài KHCN trong 10 năm (2016-2026)</w:t>
      </w:r>
      <w:r>
        <w:rPr>
          <w:rFonts w:ascii="Times New Roman" w:hAnsi="Times New Roman" w:eastAsia="Times New Roman"/>
          <w:b w:val="0"/>
          <w:i w:val="0"/>
          <w:sz w:val="26"/>
          <w:highlight w:val="yellow"/>
        </w:rPr>
        <w:t>, bao gồm 01 sáng kiến cấp Ngành, 01 nhiệm vụ KHCN cấp Bộ và 08 sáng kiến/nhiệm vụ cấp cơ sở. Tất cả đều được ứng dụng vào thực tiễn và phát huy hiệu quả thiết thực trong toàn hệ thống BHXH, góp phần bảo vệ quỹ BHYT quốc gia và thúc đẩy chuyển đổi số ngành An sinh xã hội.</w:t>
      </w:r>
    </w:p>
    <w:p>
      <w:pPr>
        <w:spacing w:before="0" w:after="80"/>
        <w:jc w:val="left"/>
      </w:pPr>
      <w:r>
        <w:rPr>
          <w:rFonts w:ascii="Times New Roman" w:hAnsi="Times New Roman" w:eastAsia="Times New Roman"/>
          <w:b/>
          <w:i w:val="0"/>
          <w:sz w:val="26"/>
        </w:rPr>
        <w:t>d) Việc thực hiện chủ trương, đường lối của Đảng, chính sách pháp luật của Nhà nước; nội quy, quy định của cơ quan; đánh giá, xếp loại đảng viên</w:t>
      </w:r>
    </w:p>
    <w:p>
      <w:pPr>
        <w:spacing w:before="0" w:after="80"/>
        <w:ind w:firstLine="709"/>
        <w:jc w:val="left"/>
      </w:pPr>
      <w:r>
        <w:rPr>
          <w:rFonts w:ascii="Times New Roman" w:hAnsi="Times New Roman" w:eastAsia="Times New Roman"/>
          <w:b w:val="0"/>
          <w:i w:val="0"/>
          <w:sz w:val="26"/>
        </w:rPr>
        <w:t>Tôi và người thân trong gia đình luôn có lập trường tư tưởng chính trị vững vàng; kiên định mục tiêu lý tưởng của Đảng; không dao động trước khó khăn, thách thức; trung thành với lợi ích của quốc gia, dân tộc; nghiêm túc chấp hành và tích cực thể chế hóa, triển khai các chủ trương, đường lối của Đảng, chính sách pháp luật của Nhà nước.</w:t>
      </w:r>
    </w:p>
    <w:p>
      <w:pPr>
        <w:spacing w:before="0" w:after="80"/>
        <w:ind w:firstLine="709"/>
        <w:jc w:val="left"/>
      </w:pPr>
      <w:r>
        <w:rPr>
          <w:rFonts w:ascii="Times New Roman" w:hAnsi="Times New Roman" w:eastAsia="Times New Roman"/>
          <w:b w:val="0"/>
          <w:i w:val="0"/>
          <w:sz w:val="26"/>
        </w:rPr>
        <w:t>Luôn tự giác, gương mẫu, nêu cao ý thức tổ chức kỷ luật; chấp hành nghiêm chỉnh các quy định của Đảng, pháp luật của Nhà nước; nội quy, quy chế của cơ quan; thực hiện nghiêm túc ý kiến chỉ đạo và công việc chuyên môn được giao một cách hoàn chỉnh, đúng tiến độ.</w:t>
      </w:r>
    </w:p>
    <w:p>
      <w:pPr>
        <w:spacing w:before="0" w:after="120"/>
        <w:ind w:firstLine="709"/>
        <w:jc w:val="left"/>
      </w:pPr>
      <w:r>
        <w:rPr>
          <w:rFonts w:ascii="Times New Roman" w:hAnsi="Times New Roman" w:eastAsia="Times New Roman"/>
          <w:b w:val="0"/>
          <w:i/>
          <w:sz w:val="26"/>
        </w:rPr>
        <w:t>Kết quả xếp loại đảng viên hằng năm từ 2016 đến 2025: [Điền theo thực tế]</w:t>
      </w:r>
    </w:p>
    <w:p>
      <w:pPr>
        <w:spacing w:before="0" w:after="80"/>
        <w:jc w:val="left"/>
      </w:pPr>
      <w:r>
        <w:rPr>
          <w:rFonts w:ascii="Times New Roman" w:hAnsi="Times New Roman" w:eastAsia="Times New Roman"/>
          <w:b/>
          <w:i w:val="0"/>
          <w:sz w:val="26"/>
        </w:rPr>
        <w:t>đ) Công tác bồi dưỡng, học tập nâng cao trình độ; chăm lo đời sống viên chức</w:t>
      </w:r>
    </w:p>
    <w:p>
      <w:pPr>
        <w:spacing w:before="0" w:after="120"/>
        <w:ind w:firstLine="709"/>
        <w:jc w:val="left"/>
      </w:pPr>
      <w:r>
        <w:rPr>
          <w:rFonts w:ascii="Times New Roman" w:hAnsi="Times New Roman" w:eastAsia="Times New Roman"/>
          <w:b w:val="0"/>
          <w:i w:val="0"/>
          <w:sz w:val="26"/>
        </w:rPr>
        <w:t>Thường xuyên học tập và làm theo tấm gương đạo đức Hồ Chí Minh; chủ động nghiên cứu, cập nhật kịp thời chủ trương, chính sách pháp luật mới liên quan đến lĩnh vực công tác. Có lối sống trong sạch, lành mạnh, giản dị, trung thực. Tích cực tạo điều kiện để cán bộ, đảng viên trong đơn vị học tập nâng cao trình độ chuyên môn nghiệp vụ; giải quyết chế độ, chính sách đối với viên chức, người lao động kịp thời, đúng quy định.</w:t>
      </w:r>
    </w:p>
    <w:p>
      <w:pPr>
        <w:spacing w:before="0" w:after="80"/>
        <w:jc w:val="left"/>
      </w:pPr>
      <w:r>
        <w:rPr>
          <w:rFonts w:ascii="Times New Roman" w:hAnsi="Times New Roman" w:eastAsia="Times New Roman"/>
          <w:b/>
          <w:i w:val="0"/>
          <w:sz w:val="26"/>
        </w:rPr>
        <w:t>e) Vai trò của cá nhân trong công tác xây dựng Đảng, đoàn thể; tham gia hoạt động xã hội, từ thiện</w:t>
      </w:r>
    </w:p>
    <w:p>
      <w:pPr>
        <w:spacing w:after="80" w:before="0"/>
        <w:ind w:firstLine="709"/>
        <w:jc w:val="left"/>
      </w:pPr>
      <w:r>
        <w:rPr>
          <w:rFonts w:ascii="Times New Roman" w:hAnsi="Times New Roman" w:eastAsia="Times New Roman"/>
          <w:b w:val="0"/>
          <w:i w:val="0"/>
          <w:sz w:val="26"/>
        </w:rPr>
        <w:t xml:space="preserve">Trên cương vị </w:t>
      </w:r>
      <w:r>
        <w:rPr>
          <w:rFonts w:ascii="Times New Roman" w:hAnsi="Times New Roman" w:eastAsia="Times New Roman"/>
          <w:b/>
          <w:i w:val="0"/>
          <w:sz w:val="26"/>
        </w:rPr>
        <w:t>Ủy viên Ban Chấp hành Công đoàn BHXH Việt Nam và Chủ tịch Công đoàn Trung tâm</w:t>
      </w:r>
      <w:r>
        <w:rPr>
          <w:rFonts w:ascii="Times New Roman" w:hAnsi="Times New Roman" w:eastAsia="Times New Roman"/>
          <w:b w:val="0"/>
          <w:i w:val="0"/>
          <w:sz w:val="26"/>
        </w:rPr>
        <w:t>, tôi luôn nỗ lực, trách nhiệm triển khai các chương trình, kế hoạch của công đoàn cấp trên; quan tâm bảo vệ quyền lợi của đoàn viên; tích cực tham gia và phát động các hoạt động xã hội, từ thiện, tình nguyện.</w:t>
      </w:r>
    </w:p>
    <w:p>
      <w:pPr>
        <w:spacing w:after="160" w:before="0"/>
        <w:ind w:firstLine="709"/>
        <w:jc w:val="left"/>
      </w:pPr>
      <w:r>
        <w:rPr>
          <w:rFonts w:ascii="Times New Roman" w:hAnsi="Times New Roman" w:eastAsia="Times New Roman"/>
          <w:b w:val="0"/>
          <w:i w:val="0"/>
          <w:sz w:val="26"/>
        </w:rPr>
        <w:t xml:space="preserve">Trên cương vị </w:t>
      </w:r>
      <w:r>
        <w:rPr>
          <w:rFonts w:ascii="Times New Roman" w:hAnsi="Times New Roman" w:eastAsia="Times New Roman"/>
          <w:b/>
          <w:i w:val="0"/>
          <w:sz w:val="26"/>
        </w:rPr>
        <w:t>Chi ủy viên Chi bộ</w:t>
      </w:r>
      <w:r>
        <w:rPr>
          <w:rFonts w:ascii="Times New Roman" w:hAnsi="Times New Roman" w:eastAsia="Times New Roman"/>
          <w:b w:val="0"/>
          <w:i w:val="0"/>
          <w:sz w:val="26"/>
        </w:rPr>
        <w:t xml:space="preserve"> (nhiệm kỳ 2025-2030), tích cực tham gia xây dựng Chi bộ trong sạch, vững mạnh; tuyên truyền, vận động đảng viên, quần chúng chấp hành nghiêm đường lối, chủ trương của Đảng, pháp luật của Nhà nước; gương mẫu đi đầu trong thực hiện nhiệm vụ được giao.</w:t>
      </w:r>
    </w:p>
    <w:p>
      <w:pPr>
        <w:spacing w:before="0" w:after="80"/>
        <w:jc w:val="left"/>
      </w:pPr>
      <w:r>
        <w:rPr>
          <w:rFonts w:ascii="Times New Roman" w:hAnsi="Times New Roman" w:eastAsia="Times New Roman"/>
          <w:b/>
          <w:i w:val="0"/>
          <w:sz w:val="26"/>
        </w:rPr>
        <w:t>III. DANH HIỆU THI ĐUA, HÌNH THỨC KHEN THƯỞNG ĐÃ ĐƯỢC NHẬN</w:t>
      </w:r>
    </w:p>
    <w:p>
      <w:pPr>
        <w:spacing w:before="0" w:after="60"/>
        <w:jc w:val="left"/>
      </w:pPr>
      <w:r>
        <w:rPr>
          <w:rFonts w:ascii="Times New Roman" w:hAnsi="Times New Roman" w:eastAsia="Times New Roman"/>
          <w:b/>
          <w:i w:val="0"/>
          <w:sz w:val="26"/>
        </w:rPr>
        <w:t>1. Mức độ hoàn thành nhiệm vụ</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Times New Roman" w:hAnsi="Times New Roman" w:eastAsia="Times New Roman"/>
                <w:b/>
                <w:i w:val="0"/>
                <w:sz w:val="22"/>
              </w:rPr>
              <w:t>Năm</w:t>
            </w:r>
          </w:p>
        </w:tc>
        <w:tc>
          <w:tcPr>
            <w:tcW w:type="dxa" w:w="2268"/>
          </w:tcPr>
          <w:p>
            <w:pPr>
              <w:jc w:val="center"/>
            </w:pPr>
            <w:r>
              <w:rPr>
                <w:rFonts w:ascii="Times New Roman" w:hAnsi="Times New Roman" w:eastAsia="Times New Roman"/>
                <w:b/>
                <w:i w:val="0"/>
                <w:sz w:val="22"/>
              </w:rPr>
              <w:t>Mức độ hoàn thành nhiệm vụ</w:t>
            </w:r>
          </w:p>
        </w:tc>
        <w:tc>
          <w:tcPr>
            <w:tcW w:type="dxa" w:w="2268"/>
          </w:tcPr>
          <w:p>
            <w:pPr>
              <w:jc w:val="center"/>
            </w:pPr>
            <w:r>
              <w:rPr>
                <w:rFonts w:ascii="Times New Roman" w:hAnsi="Times New Roman" w:eastAsia="Times New Roman"/>
                <w:b/>
                <w:i w:val="0"/>
                <w:sz w:val="22"/>
              </w:rPr>
              <w:t>Xếp loại Đảng viên</w:t>
            </w:r>
          </w:p>
        </w:tc>
        <w:tc>
          <w:tcPr>
            <w:tcW w:type="dxa" w:w="2268"/>
          </w:tcPr>
          <w:p>
            <w:pPr>
              <w:jc w:val="center"/>
            </w:pPr>
            <w:r>
              <w:rPr>
                <w:rFonts w:ascii="Times New Roman" w:hAnsi="Times New Roman" w:eastAsia="Times New Roman"/>
                <w:b/>
                <w:i w:val="0"/>
                <w:sz w:val="22"/>
              </w:rPr>
              <w:t>Ghi chú</w:t>
            </w:r>
          </w:p>
        </w:tc>
      </w:tr>
      <w:tr>
        <w:tc>
          <w:tcPr>
            <w:tcW w:type="dxa" w:w="2268"/>
          </w:tcPr>
          <w:p>
            <w:pPr>
              <w:jc w:val="center"/>
            </w:pPr>
            <w:r>
              <w:rPr>
                <w:rFonts w:ascii="Times New Roman" w:hAnsi="Times New Roman" w:eastAsia="Times New Roman"/>
                <w:b w:val="0"/>
                <w:i/>
                <w:sz w:val="22"/>
              </w:rPr>
              <w:t>2016-2025</w:t>
            </w:r>
          </w:p>
        </w:tc>
        <w:tc>
          <w:tcPr>
            <w:tcW w:type="dxa" w:w="2268"/>
          </w:tcPr>
          <w:p>
            <w:pPr>
              <w:jc w:val="center"/>
            </w:pPr>
            <w:r>
              <w:rPr>
                <w:rFonts w:ascii="Times New Roman" w:hAnsi="Times New Roman" w:eastAsia="Times New Roman"/>
                <w:b w:val="0"/>
                <w:i/>
                <w:sz w:val="22"/>
              </w:rPr>
              <w:t>[Điền theo thực tế]</w:t>
            </w:r>
          </w:p>
        </w:tc>
        <w:tc>
          <w:tcPr>
            <w:tcW w:type="dxa" w:w="2268"/>
          </w:tcPr>
          <w:p>
            <w:pPr>
              <w:jc w:val="center"/>
            </w:pPr>
            <w:r>
              <w:rPr>
                <w:rFonts w:ascii="Times New Roman" w:hAnsi="Times New Roman" w:eastAsia="Times New Roman"/>
                <w:b w:val="0"/>
                <w:i/>
                <w:sz w:val="22"/>
              </w:rPr>
              <w:t>[Điền theo thực tế]</w:t>
            </w:r>
          </w:p>
        </w:tc>
        <w:tc>
          <w:tcPr>
            <w:tcW w:type="dxa" w:w="2268"/>
          </w:tcPr>
          <w:p>
            <w:pPr>
              <w:jc w:val="center"/>
            </w:pPr>
            <w:r>
              <w:rPr>
                <w:rFonts w:ascii="Times New Roman" w:hAnsi="Times New Roman" w:eastAsia="Times New Roman"/>
                <w:b w:val="0"/>
                <w:i/>
                <w:sz w:val="22"/>
              </w:rPr>
            </w:r>
          </w:p>
        </w:tc>
      </w:tr>
    </w:tbl>
    <w:p/>
    <w:p>
      <w:pPr>
        <w:spacing w:before="0" w:after="60"/>
        <w:jc w:val="left"/>
      </w:pPr>
      <w:r>
        <w:rPr>
          <w:rFonts w:ascii="Times New Roman" w:hAnsi="Times New Roman" w:eastAsia="Times New Roman"/>
          <w:b/>
          <w:i w:val="0"/>
          <w:sz w:val="26"/>
        </w:rPr>
        <w:t>2. Danh hiệu thi đua</w:t>
      </w:r>
    </w:p>
    <w:p>
      <w:pPr>
        <w:spacing w:before="0" w:after="80"/>
        <w:ind w:firstLine="709"/>
        <w:jc w:val="left"/>
      </w:pPr>
      <w:r>
        <w:rPr>
          <w:rFonts w:ascii="Times New Roman" w:hAnsi="Times New Roman" w:eastAsia="Times New Roman"/>
          <w:b w:val="0"/>
          <w:i/>
          <w:sz w:val="26"/>
        </w:rPr>
        <w:t>[Điền theo thực tế — chỉ kê đủ 5 năm từ năm 2021 đến 2025]</w:t>
      </w:r>
    </w:p>
    <w:p>
      <w:pPr>
        <w:spacing w:before="0" w:after="60"/>
        <w:jc w:val="left"/>
      </w:pPr>
      <w:r>
        <w:rPr>
          <w:rFonts w:ascii="Times New Roman" w:hAnsi="Times New Roman" w:eastAsia="Times New Roman"/>
          <w:b/>
          <w:i w:val="0"/>
          <w:sz w:val="26"/>
        </w:rPr>
        <w:t>3. Hình thức khen thưởng</w:t>
      </w:r>
    </w:p>
    <w:p>
      <w:pPr>
        <w:spacing w:before="0" w:after="160"/>
        <w:ind w:firstLine="709"/>
        <w:jc w:val="left"/>
      </w:pPr>
      <w:r>
        <w:rPr>
          <w:rFonts w:ascii="Times New Roman" w:hAnsi="Times New Roman" w:eastAsia="Times New Roman"/>
          <w:b w:val="0"/>
          <w:i/>
          <w:sz w:val="26"/>
        </w:rPr>
        <w:t>[Điền theo thực tế — các hình thức khen thưởng đã nhận từ năm 2021 đến 2025]</w:t>
      </w:r>
    </w:p>
    <w:p>
      <w:pPr>
        <w:spacing w:before="0" w:after="40"/>
        <w:jc w:val="center"/>
      </w:pPr>
      <w:r>
        <w:rPr>
          <w:rFonts w:ascii="Times New Roman" w:hAnsi="Times New Roman" w:eastAsia="Times New Roman"/>
          <w:b/>
          <w:i w:val="0"/>
          <w:sz w:val="26"/>
        </w:rPr>
        <w:t>XÁC NHẬN CỦA BẢO HIỂM XÃ HỘI VIỆT NAM</w:t>
      </w:r>
    </w:p>
    <w:p>
      <w:pPr>
        <w:spacing w:before="0" w:after="200"/>
        <w:jc w:val="center"/>
      </w:pPr>
      <w:r>
        <w:rPr>
          <w:rFonts w:ascii="Times New Roman" w:hAnsi="Times New Roman" w:eastAsia="Times New Roman"/>
          <w:b w:val="0"/>
          <w:i/>
          <w:sz w:val="24"/>
        </w:rPr>
        <w:t>(Xác nhận thành tích, phẩm chất của cá nhân; đề nghị hình thức và mức khen thưởng)</w:t>
      </w:r>
    </w:p>
    <w:p/>
    <w:p/>
    <w:p/>
    <w:p/>
    <w:tbl>
      <w:tblPr>
        <w:tblStyle w:val="TableGrid"/>
        <w:tblW w:type="auto" w:w="0"/>
        <w:tblLook w:firstColumn="1" w:firstRow="1" w:lastColumn="0" w:lastRow="0" w:noHBand="0" w:noVBand="1" w:val="04A0"/>
      </w:tblPr>
      <w:tblGrid>
        <w:gridCol w:w="3024"/>
        <w:gridCol w:w="3024"/>
        <w:gridCol w:w="3024"/>
      </w:tblGrid>
      <w:tr>
        <w:tc>
          <w:tcPr>
            <w:tcW w:type="dxa" w:w="3024"/>
            <w:tcBorders>
              <w:top w:val="none"/>
              <w:left w:val="none"/>
              <w:bottom w:val="none"/>
              <w:right w:val="none"/>
              <w:insideH w:val="none"/>
              <w:insideV w:val="none"/>
            </w:tcBorders>
          </w:tcPr>
          <w:p>
            <w:pPr>
              <w:jc w:val="center"/>
            </w:pPr>
            <w:r>
              <w:rPr>
                <w:rFonts w:ascii="Times New Roman" w:hAnsi="Times New Roman" w:eastAsia="Times New Roman"/>
                <w:b/>
                <w:i w:val="0"/>
                <w:sz w:val="24"/>
              </w:rPr>
              <w:t>XÁC NHẬN CỦA BHXH VIỆT NAM</w:t>
            </w:r>
          </w:p>
          <w:p>
            <w:pPr>
              <w:jc w:val="center"/>
            </w:pPr>
            <w:r>
              <w:rPr>
                <w:rFonts w:ascii="Times New Roman" w:hAnsi="Times New Roman" w:eastAsia="Times New Roman"/>
                <w:b w:val="0"/>
                <w:i/>
                <w:sz w:val="22"/>
              </w:rPr>
              <w:t>(Ký, ghi rõ họ tên, đóng dấu)</w:t>
            </w:r>
          </w:p>
          <w:p/>
          <w:p/>
          <w:p/>
          <w:p/>
          <w:p/>
        </w:tc>
        <w:tc>
          <w:tcPr>
            <w:tcW w:type="dxa" w:w="3024"/>
            <w:tcBorders>
              <w:top w:val="none"/>
              <w:left w:val="none"/>
              <w:bottom w:val="none"/>
              <w:right w:val="none"/>
              <w:insideH w:val="none"/>
              <w:insideV w:val="none"/>
            </w:tcBorders>
          </w:tcPr>
          <w:p>
            <w:pPr>
              <w:jc w:val="center"/>
            </w:pPr>
            <w:r>
              <w:rPr>
                <w:rFonts w:ascii="Times New Roman" w:hAnsi="Times New Roman" w:eastAsia="Times New Roman"/>
                <w:b/>
                <w:i w:val="0"/>
                <w:sz w:val="24"/>
              </w:rPr>
              <w:t>XÁC NHẬN CỦA BỘ TÀI CHÍNH</w:t>
            </w:r>
          </w:p>
          <w:p>
            <w:pPr>
              <w:jc w:val="center"/>
            </w:pPr>
            <w:r>
              <w:rPr>
                <w:rFonts w:ascii="Times New Roman" w:hAnsi="Times New Roman" w:eastAsia="Times New Roman"/>
                <w:b w:val="0"/>
                <w:i/>
                <w:sz w:val="22"/>
              </w:rPr>
              <w:t>(Ký, ghi rõ họ tên, đóng dấu)</w:t>
            </w:r>
          </w:p>
          <w:p/>
          <w:p/>
          <w:p/>
          <w:p/>
          <w:p/>
        </w:tc>
        <w:tc>
          <w:tcPr>
            <w:tcW w:type="dxa" w:w="3024"/>
            <w:tcBorders>
              <w:top w:val="none"/>
              <w:left w:val="none"/>
              <w:bottom w:val="none"/>
              <w:right w:val="none"/>
              <w:insideH w:val="none"/>
              <w:insideV w:val="none"/>
            </w:tcBorders>
          </w:tcPr>
          <w:p>
            <w:pPr>
              <w:jc w:val="center"/>
            </w:pPr>
            <w:r>
              <w:rPr>
                <w:rFonts w:ascii="Times New Roman" w:hAnsi="Times New Roman" w:eastAsia="Times New Roman"/>
                <w:b/>
                <w:i w:val="0"/>
                <w:sz w:val="24"/>
              </w:rPr>
              <w:t>CÁ NHÂN BÁO CÁO</w:t>
            </w:r>
          </w:p>
          <w:p>
            <w:pPr>
              <w:jc w:val="center"/>
            </w:pPr>
            <w:r>
              <w:rPr>
                <w:rFonts w:ascii="Times New Roman" w:hAnsi="Times New Roman" w:eastAsia="Times New Roman"/>
                <w:b w:val="0"/>
                <w:i/>
                <w:sz w:val="22"/>
              </w:rPr>
              <w:t>(Ký, ghi rõ họ tên, đóng dấu)</w:t>
            </w:r>
          </w:p>
          <w:p/>
          <w:p/>
          <w:p/>
          <w:p/>
          <w:p/>
        </w:tc>
      </w:tr>
    </w:tbl>
    <w:p/>
    <w:p>
      <w:pPr>
        <w:spacing w:after="40" w:before="80"/>
        <w:jc w:val="left"/>
      </w:pPr>
      <w:r>
        <w:rPr>
          <w:rFonts w:ascii="Times New Roman" w:hAnsi="Times New Roman" w:eastAsia="Times New Roman"/>
          <w:b/>
          <w:i w:val="0"/>
          <w:sz w:val="26"/>
        </w:rPr>
        <w:t xml:space="preserve">📌 Ghi chú bôi màu: </w:t>
      </w:r>
      <w:r>
        <w:rPr>
          <w:rFonts w:ascii="Times New Roman" w:hAnsi="Times New Roman" w:eastAsia="Times New Roman"/>
          <w:b w:val="0"/>
          <w:i w:val="0"/>
          <w:color w:val="C00000"/>
          <w:sz w:val="26"/>
        </w:rPr>
        <w:t>chữ đỏ</w:t>
      </w:r>
      <w:r>
        <w:rPr>
          <w:rFonts w:ascii="Times New Roman" w:hAnsi="Times New Roman" w:eastAsia="Times New Roman"/>
          <w:b w:val="0"/>
          <w:i w:val="0"/>
          <w:sz w:val="26"/>
        </w:rPr>
        <w:t xml:space="preserve"> = nội dung đã sửa; </w:t>
      </w:r>
      <w:r>
        <w:rPr>
          <w:rFonts w:ascii="Times New Roman" w:hAnsi="Times New Roman" w:eastAsia="Times New Roman"/>
          <w:b w:val="0"/>
          <w:i w:val="0"/>
          <w:sz w:val="26"/>
          <w:highlight w:val="yellow"/>
        </w:rPr>
        <w:t>bôi vàng</w:t>
      </w:r>
      <w:r>
        <w:rPr>
          <w:rFonts w:ascii="Times New Roman" w:hAnsi="Times New Roman" w:eastAsia="Times New Roman"/>
          <w:b w:val="0"/>
          <w:i w:val="0"/>
          <w:sz w:val="26"/>
        </w:rPr>
        <w:t xml:space="preserve"> = nội dung bổ sung mới</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