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both"/>
      </w:pPr>
      <w:r>
        <w:rPr>
          <w:rFonts w:ascii="Times New Roman" w:hAnsi="Times New Roman" w:eastAsia="Times New Roman"/>
          <w:b w:val="0"/>
          <w:i w:val="0"/>
          <w:sz w:val="26"/>
        </w:rPr>
      </w:r>
    </w:p>
    <w:p>
      <w:pPr>
        <w:spacing w:after="80" w:before="0"/>
        <w:jc w:val="center"/>
      </w:pPr>
      <w:r>
        <w:rPr>
          <w:rFonts w:ascii="Times New Roman" w:hAnsi="Times New Roman" w:eastAsia="Times New Roman"/>
          <w:b/>
          <w:i w:val="0"/>
          <w:sz w:val="28"/>
        </w:rPr>
        <w:t>BÁO CÁO THÀNH TÍCH</w:t>
      </w:r>
    </w:p>
    <w:p>
      <w:pPr>
        <w:spacing w:after="80" w:before="0"/>
        <w:jc w:val="center"/>
      </w:pPr>
      <w:r>
        <w:rPr>
          <w:rFonts w:ascii="Times New Roman" w:hAnsi="Times New Roman" w:eastAsia="Times New Roman"/>
          <w:b/>
          <w:i w:val="0"/>
          <w:sz w:val="28"/>
        </w:rPr>
        <w:t>ĐỀ NGHỊ TẶNG BẰNG KHEN CỦA THỦ TƯỚNG CHÍNH PHỦ</w:t>
      </w:r>
    </w:p>
    <w:p>
      <w:pPr>
        <w:spacing w:after="40" w:before="0"/>
        <w:jc w:val="both"/>
      </w:pPr>
      <w:r>
        <w:rPr>
          <w:rFonts w:ascii="Times New Roman" w:hAnsi="Times New Roman" w:eastAsia="Times New Roman"/>
          <w:b w:val="0"/>
          <w:i w:val="0"/>
          <w:sz w:val="26"/>
        </w:rPr>
      </w:r>
    </w:p>
    <w:p>
      <w:pPr>
        <w:spacing w:after="80" w:before="0"/>
        <w:ind w:firstLine="709"/>
        <w:jc w:val="both"/>
      </w:pPr>
      <w:r>
        <w:rPr>
          <w:rFonts w:ascii="Times New Roman" w:hAnsi="Times New Roman" w:eastAsia="Times New Roman"/>
          <w:b/>
          <w:i w:val="0"/>
          <w:sz w:val="28"/>
        </w:rPr>
        <w:t>I. SƠ LƯỢC LÝ LỊCH</w:t>
      </w:r>
    </w:p>
    <w:p>
      <w:pPr>
        <w:spacing w:after="80" w:before="0"/>
        <w:ind w:left="283"/>
        <w:jc w:val="both"/>
      </w:pPr>
      <w:r>
        <w:rPr>
          <w:rFonts w:ascii="Times New Roman" w:hAnsi="Times New Roman" w:eastAsia="Times New Roman"/>
          <w:b w:val="0"/>
          <w:i w:val="0"/>
          <w:sz w:val="28"/>
        </w:rPr>
        <w:t>- Họ tên: Tô Hồng Lương</w:t>
      </w:r>
    </w:p>
    <w:p>
      <w:pPr>
        <w:spacing w:after="80" w:before="0"/>
        <w:ind w:left="283"/>
        <w:jc w:val="both"/>
      </w:pPr>
      <w:r>
        <w:rPr>
          <w:rFonts w:ascii="Times New Roman" w:hAnsi="Times New Roman" w:eastAsia="Times New Roman"/>
          <w:b w:val="0"/>
          <w:i w:val="0"/>
          <w:sz w:val="28"/>
        </w:rPr>
        <w:t>- Sinh ngày, tháng, năm: 03/01/1978</w:t>
        <w:tab/>
        <w:tab/>
        <w:t>Giới tính: Nam</w:t>
      </w:r>
    </w:p>
    <w:p>
      <w:pPr>
        <w:spacing w:after="80" w:before="0"/>
        <w:ind w:left="283"/>
        <w:jc w:val="both"/>
      </w:pPr>
      <w:r>
        <w:rPr>
          <w:rFonts w:ascii="Times New Roman" w:hAnsi="Times New Roman" w:eastAsia="Times New Roman"/>
          <w:b w:val="0"/>
          <w:i w:val="0"/>
          <w:sz w:val="28"/>
        </w:rPr>
        <w:t>- Quê quán: xã Tiền Hải, tỉnh Hưng Yên</w:t>
      </w:r>
    </w:p>
    <w:p>
      <w:pPr>
        <w:spacing w:after="80" w:before="0"/>
        <w:ind w:left="283"/>
        <w:jc w:val="both"/>
      </w:pPr>
      <w:r>
        <w:rPr>
          <w:rFonts w:ascii="Times New Roman" w:hAnsi="Times New Roman" w:eastAsia="Times New Roman"/>
          <w:b w:val="0"/>
          <w:i w:val="0"/>
          <w:sz w:val="28"/>
        </w:rPr>
        <w:t>- Nơi thường trú: Căn hộ 607 toà P1, cung cư 360 Giải Phóng, phường Phương Liệt, thành phố Hà Nội.</w:t>
      </w:r>
    </w:p>
    <w:p>
      <w:pPr>
        <w:spacing w:after="80" w:before="0"/>
        <w:ind w:left="283"/>
        <w:jc w:val="both"/>
      </w:pPr>
      <w:r>
        <w:rPr>
          <w:rFonts w:ascii="Times New Roman" w:hAnsi="Times New Roman" w:eastAsia="Times New Roman"/>
          <w:b w:val="0"/>
          <w:i w:val="0"/>
          <w:sz w:val="28"/>
        </w:rPr>
        <w:t>- Đơn vị công tác: Trung tâm Kiểm soát thanh toán bảo hiểm xã hội, bảo hiểm y tế điện tử thuộc Bảo hiểm xã hội Việt Nam.</w:t>
      </w:r>
    </w:p>
    <w:p>
      <w:pPr>
        <w:spacing w:after="80" w:before="0"/>
        <w:ind w:left="283"/>
        <w:jc w:val="both"/>
      </w:pPr>
      <w:r>
        <w:rPr>
          <w:rFonts w:ascii="Times New Roman" w:hAnsi="Times New Roman" w:eastAsia="Times New Roman"/>
          <w:b w:val="0"/>
          <w:i w:val="0"/>
          <w:sz w:val="28"/>
        </w:rPr>
        <w:t>- Chức vụ (Đảng, chính quyền, đoàn thể): Chi ủy viên Chi bộ (nhiệm kỳ 2025-2030), Phó Giám đốc, Uỷ viên Ban Chấp hành Công đoàn Bảo hiểm xã hội Việt Nam, Chủ tịch Ban chấp hành Công đoàn Trung tâm Kiểm soát thanh toán bảo hiểm xã hội, bảo hiểm y tế điện tử (nhiệm kỳ 2025-2030).</w:t>
      </w:r>
    </w:p>
    <w:p>
      <w:pPr>
        <w:spacing w:after="80" w:before="0"/>
        <w:ind w:left="283"/>
        <w:jc w:val="both"/>
      </w:pPr>
      <w:r>
        <w:rPr>
          <w:rFonts w:ascii="Times New Roman" w:hAnsi="Times New Roman" w:eastAsia="Times New Roman"/>
          <w:b w:val="0"/>
          <w:i w:val="0"/>
          <w:sz w:val="28"/>
        </w:rPr>
        <w:t>- Trình độ lý luận chính trị, chuyên môn, nghiệp vụ: Cao cấp lý luận chính trị, quản trị kinh doanh</w:t>
      </w:r>
    </w:p>
    <w:p>
      <w:pPr>
        <w:spacing w:after="80" w:before="0"/>
        <w:ind w:left="283"/>
        <w:jc w:val="both"/>
      </w:pPr>
      <w:r>
        <w:rPr>
          <w:rFonts w:ascii="Times New Roman" w:hAnsi="Times New Roman" w:eastAsia="Times New Roman"/>
          <w:b w:val="0"/>
          <w:i w:val="0"/>
          <w:sz w:val="28"/>
        </w:rPr>
        <w:t>- Học hàm, học vị, danh hiệu, giải thưởng: Thạc sỹ quản trị kinh doanh.</w:t>
      </w:r>
    </w:p>
    <w:p>
      <w:pPr>
        <w:spacing w:after="80" w:before="0"/>
        <w:ind w:firstLine="720"/>
        <w:jc w:val="both"/>
      </w:pPr>
      <w:r>
        <w:rPr>
          <w:rFonts w:ascii="Times New Roman" w:hAnsi="Times New Roman" w:eastAsia="Times New Roman"/>
          <w:b/>
          <w:i w:val="0"/>
          <w:sz w:val="28"/>
        </w:rPr>
        <w:t>II. THÀNH TÍCH ĐẠT ĐƯỢC</w:t>
      </w:r>
    </w:p>
    <w:p>
      <w:pPr>
        <w:spacing w:after="80" w:before="0"/>
        <w:ind w:firstLine="720"/>
        <w:jc w:val="both"/>
      </w:pPr>
      <w:r>
        <w:rPr>
          <w:rFonts w:ascii="Times New Roman" w:hAnsi="Times New Roman" w:eastAsia="Times New Roman"/>
          <w:b w:val="0"/>
          <w:i w:val="0"/>
          <w:sz w:val="26"/>
          <w:highlight w:val="yellow"/>
        </w:rPr>
        <w:t>Trong suốt quá trình công tác từ năm 2016 đến tháng 5/2026, với vai trò là chuyên gia hàng đầu về ứng dụng công nghệ thông tin và chuyển đổi số trong lĩnh vực Bảo hiểm y tế, bản thân tôi đã có nhiều đóng góp quan trọng trong việc xây dựng, vận hành và phát triển Hệ thống thông tin giám định BHYT — một trong những hệ thống CNTT trọng điểm của Ngành, tiếp nhận và xử lý hàng trăm triệu lượt khám chữa bệnh mỗi năm, góp phần bảo vệ quyền lợi cho hàng chục triệu người tham gia BHYT và bảo vệ tính bền vững của quỹ BHYT.</w:t>
      </w:r>
    </w:p>
    <w:p>
      <w:pPr>
        <w:spacing w:after="80" w:before="0"/>
        <w:jc w:val="both"/>
      </w:pPr>
      <w:r>
        <w:rPr>
          <w:rFonts w:ascii="Times New Roman" w:hAnsi="Times New Roman" w:eastAsia="Times New Roman"/>
          <w:b/>
          <w:i w:val="0"/>
          <w:color w:val="C00000"/>
          <w:sz w:val="26"/>
        </w:rPr>
        <w:t>Quyền hạn, nhiệm vụ được giao hoặc đảm nhận từ năm 2016 đến tháng 5/2026</w:t>
      </w:r>
    </w:p>
    <w:p>
      <w:pPr>
        <w:spacing w:after="80" w:before="0"/>
        <w:ind w:firstLine="709"/>
        <w:jc w:val="both"/>
      </w:pPr>
      <w:r>
        <w:rPr>
          <w:rFonts w:ascii="Times New Roman" w:hAnsi="Times New Roman" w:eastAsia="Times New Roman"/>
          <w:b/>
          <w:i w:val="0"/>
          <w:sz w:val="28"/>
        </w:rPr>
        <w:t>1.1. Từ tháng 01/2016 đến tháng 3/2017: là Phó Trưởng phòng, phòng Quản lý dữ liệu, Ban Thực hiện chính sách bảo hiểm y tế, Bảo hiểm xã hội Việt Nam: Tham mưu lãnh đạo đơn vị trong việc triển khai ứng dụng công nghệ thông tin trong công tác quản lý, giám định chi phí khám bệnh, chữa bệnh (KCB) bảo hiểm y tế (BHYT); hướng dẫn nghiệp vụ, hỗ trợ địa phương ứng dụng CNTT trong quản lý dự liệu chi phí khám chữa bệnh BHYT trên phạm vi toàn quốc; Trực tiếp tổng hợp và phân tích dữ liệu về chi phí khám chữa bệnh BHYT; là tác giả phần mềm Thống kê chi phí KCB BHYT (Phân hệ HMS) được BHXH Việt Nam ban hành và triển khai và miễn phí sử dụng cho hơn 1600 cơ sở khám, chữa bệnh bảo hiểm y tế và tổng hợp, hỗ trợ công tác giám định, quyết toán chi phí KCB BHYT trên toàn quốc từ năm 2011 đến năm 2016. Tham gia xây dựng các danh mục dùng chung, xây dựng chuẩn cấu trúc dữ liệu trong quản lý chi phí KCB BHYT sử dụng trong liên thông dữ liệu KCB BHYT giữa cơ sở KCB và cơ quan BHXH; thành viên xây dựng và triển khai Hệ thống thông tin giám định BHYT (Hệ thống) của hệ thống Bảo hiểm xã hội Việt Nam theo Quyết định số 583/QĐ-BHXH ngày 12/5/2015.</w:t>
      </w:r>
    </w:p>
    <w:p>
      <w:pPr>
        <w:spacing w:after="80" w:before="0"/>
        <w:ind w:firstLine="709"/>
        <w:jc w:val="both"/>
      </w:pPr>
      <w:r>
        <w:rPr>
          <w:rFonts w:ascii="Times New Roman" w:hAnsi="Times New Roman" w:eastAsia="Times New Roman"/>
          <w:b/>
          <w:i w:val="0"/>
          <w:sz w:val="28"/>
        </w:rPr>
        <w:t>1.2. Từ tháng 4/2017 đến tháng 01/2022: là Trưởng phòng phòng Tổng hợp - Thanh toán đa tuyến, Trung tâm Giám định BHYT và Thanh toán đa tuyến khu vực phía Bắc (Từ tháng 10/2020 đổi tên thành Phòng Quản lý, vận hành Hệ thống giám định điện tử, Trung tâm Giám định bảo hiểm y tế và Thanh toán đa tuyến), Bảo hiểm xã hội Việt Nam.</w:t>
      </w:r>
    </w:p>
    <w:p>
      <w:pPr>
        <w:spacing w:after="80" w:before="0"/>
        <w:ind w:firstLine="709"/>
        <w:jc w:val="both"/>
      </w:pPr>
      <w:r>
        <w:rPr>
          <w:rFonts w:ascii="Times New Roman" w:hAnsi="Times New Roman" w:eastAsia="Times New Roman"/>
          <w:b w:val="0"/>
          <w:i w:val="0"/>
          <w:sz w:val="28"/>
        </w:rPr>
        <w:t>Tham mưu giúp thủ trưởng đơn vị và trực tiếp tham gia quản lý, vận hành Hệ thống; xây dựng, phát triển các phần mềm nghiệp vụ thuộc Hệ thống và liên thông nghiệp vụ, liên thông dữ liệu giữa các phần mềm nghiệp vụ của Ngành; xây dựng, chuẩn hóa các danh mục dùng chung, xây dựng và triển khai bộ Quy tắc giám định BHYT; phân tích chi phí KCB BHYT; thẩm định và thông báo chi phí khám bệnh, chữa bệnh BHYT thanh toán đa tuyến trên phạm vi toàn quốc.</w:t>
      </w:r>
    </w:p>
    <w:p>
      <w:pPr>
        <w:spacing w:after="80" w:before="0"/>
        <w:ind w:firstLine="709"/>
        <w:jc w:val="both"/>
      </w:pPr>
      <w:r>
        <w:rPr>
          <w:rFonts w:ascii="Times New Roman" w:hAnsi="Times New Roman" w:eastAsia="Times New Roman"/>
          <w:b/>
          <w:i w:val="0"/>
          <w:sz w:val="28"/>
        </w:rPr>
        <w:t>1.3. Từ tháng 2/2022 đến tháng 02/2025: là Phó Giám đốc Trung tâm Giám định bảo hiểm y tế và Thanh toán đa tuyến, Bảo hiểm xã hội Việt Nam.</w:t>
      </w:r>
    </w:p>
    <w:p>
      <w:pPr>
        <w:spacing w:after="80" w:before="0"/>
        <w:ind w:firstLine="720"/>
        <w:jc w:val="both"/>
      </w:pPr>
      <w:r>
        <w:rPr>
          <w:rFonts w:ascii="Times New Roman" w:hAnsi="Times New Roman" w:eastAsia="Times New Roman"/>
          <w:b w:val="0"/>
          <w:i w:val="0"/>
          <w:sz w:val="28"/>
        </w:rPr>
        <w:t>Thực hiện công việc giúp Giám đốc trực tiếp phụ trách và chỉ đạo thực hiện các công tác: quản lý, vận hành các phần mềm thuộc Hệ thống Thông tin giám định bảo hiểm y tế và liên thông giữa các phần mềm nghiệp vụ; công tác chuyển đổi số, an toàn thông tin, xây dựng cơ sở dữ liệu quốc gia về lĩnh vực bảo hiểm y tế; cải cách hành chính, áp dụng Hệ thống quản lý chất lượng theo tiêu chuẩn quốc gia TCVN; công tác hành chính, quản trị văn phòng; hoạt động thi đua của đơn vị; phụ trách trực tiếp phòng Quản lý, vận hành Hệ thống giám định điện tử và phòng Thanh toán đa tuyến. Triển khai, tổ chức các hoạt động công đoàn trong Trung tâm Giám định BHYT và Thanh toán đa tuyến.</w:t>
      </w:r>
    </w:p>
    <w:p>
      <w:pPr>
        <w:spacing w:after="80" w:before="0"/>
        <w:ind w:firstLine="720"/>
        <w:jc w:val="both"/>
      </w:pPr>
      <w:r>
        <w:rPr>
          <w:rFonts w:ascii="Times New Roman" w:hAnsi="Times New Roman" w:eastAsia="Times New Roman"/>
          <w:b/>
          <w:i w:val="0"/>
          <w:sz w:val="28"/>
        </w:rPr>
        <w:t>1.4. Từ tháng 3/2025 đến nay</w:t>
      </w:r>
    </w:p>
    <w:p>
      <w:pPr>
        <w:spacing w:after="80" w:before="0"/>
        <w:ind w:firstLine="720"/>
        <w:jc w:val="both"/>
      </w:pPr>
      <w:r>
        <w:rPr>
          <w:rFonts w:ascii="Times New Roman" w:hAnsi="Times New Roman" w:eastAsia="Times New Roman"/>
          <w:b w:val="0"/>
          <w:i w:val="0"/>
          <w:sz w:val="28"/>
        </w:rPr>
        <w:t>Là Chi ủy viên, Phó Giám đốc Trung tâm Kiểm soát thanh toán bảo hiểm xã hội, bảo hiểm y tế điện tử thuộc Bảo hiểm xã hội Việt Nam - Bộ Tài chính theo Quyết định số 798/QĐ-BTC ngày 01/3/2025 của Bộ trưởng Bộ Tài chính, giúp Giám đốc Trung tâm quản lý, phân tích nghiệp vụ giám định bảo hiểm y tế để phát triển các chứng năng trên Hệ thống thông tin giám định bảo hiểm y tế và xây dựng chỉ tiêu kiểm soát thanh toán bảo hiểm xã hội, bảo hiểm thất nghiệp điện tử.</w:t>
      </w:r>
    </w:p>
    <w:p>
      <w:pPr>
        <w:spacing w:after="80" w:before="0"/>
        <w:ind w:firstLine="720"/>
        <w:jc w:val="both"/>
      </w:pPr>
      <w:r>
        <w:rPr>
          <w:rFonts w:ascii="Times New Roman" w:hAnsi="Times New Roman" w:eastAsia="Times New Roman"/>
          <w:b/>
          <w:i w:val="0"/>
          <w:sz w:val="28"/>
        </w:rPr>
        <w:t>2. Sơ lược thành tích của đơn vị (từ năm 2017 đến nay)</w:t>
      </w:r>
    </w:p>
    <w:p>
      <w:pPr>
        <w:spacing w:after="80" w:before="0"/>
        <w:ind w:firstLine="720"/>
        <w:jc w:val="both"/>
      </w:pPr>
      <w:r>
        <w:rPr>
          <w:rFonts w:ascii="Times New Roman" w:hAnsi="Times New Roman" w:eastAsia="Times New Roman"/>
          <w:b w:val="0"/>
          <w:i w:val="0"/>
          <w:sz w:val="28"/>
        </w:rPr>
        <w:t>Tập thể cán bộ, viên chức Trung tâm luôn đoàn kết, thống nhất, nỗ lực thực hiện nhiệm vụ chính trị và chuyên môn; tích cực tham gia các phong trào thi đua, hoạt động đoàn thể, tham gia hoạt động xã hội từ thiện; Hằng năm, đơn vị luôn chủ động, tích cực phối hợp với các đơn vị liên quan, thực hiện tốt công tác tham mưu với lãnh đạo Ngành, tổ chức triển khai hiệu quả nội dung chương trình công tác trọng tâm, hoàn thành xuất sắc các nhiệm vụ được giao.</w:t>
      </w:r>
    </w:p>
    <w:p>
      <w:pPr>
        <w:spacing w:after="80" w:before="0"/>
        <w:ind w:firstLine="720"/>
        <w:jc w:val="both"/>
      </w:pPr>
      <w:r>
        <w:rPr>
          <w:rFonts w:ascii="Times New Roman" w:hAnsi="Times New Roman" w:eastAsia="Times New Roman"/>
          <w:b w:val="0"/>
          <w:i w:val="0"/>
          <w:sz w:val="28"/>
        </w:rPr>
        <w:t xml:space="preserve">Tháng 3/2017 Trung tâm Giám định bảo hiểm y tế và Thanh toán đa tuyến khu vực phía Bắc được giao nhiệm vụ mới (theo Quyết định số 416/QĐ-BHXH ngày 01/3/2017 của Tổng Giám đốc Bảo hiểm xã hội Việt Nam) tổng hợp, phân tích dữ liệu khám bệnh, chữa bệnh bảo hiểm y tế của Bảo hiểm xã hội các tỉnh, thành phố trực thuộc Trung ương; kiểm tra, thông báo, xử lý chi phí thanh toán BHYT của Bảo hiểm xã hội các tỉnh, thành phố khu vực miền Bắc, miền Trung; thực hiện mua sắm tập trung cấp quốc gia đối với một số thuốc, vật tư y tế, hóa chất sử dụng trong KCB BHYT; quản lý thanh toán đa tuyến trên phạm vi cả nước. </w:t>
      </w:r>
    </w:p>
    <w:p>
      <w:pPr>
        <w:spacing w:after="80" w:before="0"/>
        <w:ind w:firstLine="720"/>
        <w:jc w:val="both"/>
      </w:pPr>
      <w:r>
        <w:rPr>
          <w:rFonts w:ascii="Times New Roman" w:hAnsi="Times New Roman" w:eastAsia="Times New Roman"/>
          <w:b w:val="0"/>
          <w:i w:val="0"/>
          <w:sz w:val="28"/>
        </w:rPr>
        <w:t xml:space="preserve">Ngày 29/9/2020, Tổng Giám đốc Bảo hiểm xã hội Việt Nam ban hành Quyết định số 1219/QĐ-BHXH. Theo đó, Trung tâm Giám định bảo hiểm y tế và Thanh toán đa tuyến (Trung tâm) thực hiện nhiệm vụ quản lý, vận hành Hệ thống thông tin giám định bảo hiểm y tế; thực hiện xây dựng quy tắc giám định bảo hiểm y tế; giám sát, phân tích, tổng hợp và chỉ đạo, hướng dẫn Bảo hiểm xã hội các tỉnh, thành phố trực thuộc Trung ương thực hiện những nội dung cần tập trung kiểm tra, giám định tại cơ quan Bảo hiểm xã hội và các cơ sở khám bệnh, chữa bệnh bảo hiểm y tế; định kỳ thông tin, cảnh báo nghi vấn về thanh toán chi phí khám bệnh, chữa bệnh bảo hiểm y tế từng địa phương để Bảo hiểm xã hội tỉnh xác định nhiệm vụ trọng tâm trong quản lý quỹ khám bệnh, chữa bệnh bảo hiểm y tế; thẩm định và thông báo chi phí khám bệnh, chữa bệnh bảo hiểm y tế, thanh toán đa tuyến theo quy định; ký kết hợp đồng cung ứng thuốc kháng HIV, tạm ứng, thanh quyết toán kinh phí mua thuốc kháng HIV với nhà thầu trúng thầu theo quy định; tổng hợp quyết toán chi phí thuốc kháng HIV của Bảo hiểm xã hội tỉnh. </w:t>
      </w:r>
    </w:p>
    <w:p>
      <w:pPr>
        <w:spacing w:after="80" w:before="0"/>
        <w:ind w:firstLine="720"/>
        <w:jc w:val="both"/>
      </w:pPr>
      <w:r>
        <w:rPr>
          <w:rFonts w:ascii="Times New Roman" w:hAnsi="Times New Roman" w:eastAsia="Times New Roman"/>
          <w:b w:val="0"/>
          <w:i w:val="0"/>
          <w:sz w:val="28"/>
        </w:rPr>
        <w:t>Ngày 26/3/2025, Bộ trưởng Bộ Tài chính ban hành Quyết định số 1080/QĐ-BTC. Theo đó, Trung tâm Kiểm soát thanh toán bảo hiểm xã hội, bảo hiểm y tế điện tử thuộc Bảo hiểm xã hội Việt Nam - Bộ Tài chính, giúp Giám đốc Bảo hiểm xã hội Việt Nam quản lý nghiệp vụ giám định bảo hiểm y tế và kiểm soát thanh toán bảo hiểm xã hội, bảo hiểm thất nghiệp điện tử.</w:t>
      </w:r>
    </w:p>
    <w:p>
      <w:pPr>
        <w:spacing w:after="80" w:before="0"/>
        <w:ind w:firstLine="720"/>
        <w:jc w:val="both"/>
      </w:pPr>
      <w:r>
        <w:rPr>
          <w:rFonts w:ascii="Times New Roman" w:hAnsi="Times New Roman" w:eastAsia="Times New Roman"/>
          <w:b w:val="0"/>
          <w:i w:val="0"/>
          <w:sz w:val="28"/>
        </w:rPr>
        <w:t>Kết quả đánh giá xếp loại đơn vị: hằng năm, Chi bộ Trung tâm được xếp loại từ mức hoàn thành tốt nhiệm vụ trở lên (năm 2019, 2020 hoàn thành xuất sắc nhiệm vụ); Trung tâm đạt danh hiệu Tập thể Lao động xuất sắc, được tặng Bằng khen của Tổng Giám đốc BHXH Việt Nam (năm 2020, 2022), Bằng khen của Thủ tướng Chính phủ (năm 2018), Cờ Thi đua của Thủ tướng Chính phủ (năm 2019), Cờ Thi đua của BHXH Việt Nam (năm 2021); Công đoàn cơ sở đạt danh hiệu Công đoàn cở sở Vững mạnh xuất sắc năm 2022, 2023; Tập thể trung tâm được tặng Bằng khen của Bộ trưởng Bộ Y tế giai đoạn năm 2022 - 2023.</w:t>
      </w:r>
    </w:p>
    <w:p>
      <w:pPr>
        <w:spacing w:after="80" w:before="0"/>
        <w:ind w:firstLine="720"/>
        <w:jc w:val="both"/>
      </w:pPr>
      <w:r>
        <w:rPr>
          <w:rFonts w:ascii="Times New Roman" w:hAnsi="Times New Roman" w:eastAsia="Times New Roman"/>
          <w:b/>
          <w:i w:val="0"/>
          <w:sz w:val="28"/>
        </w:rPr>
        <w:t>3. Thành tích của cá nhân</w:t>
      </w:r>
    </w:p>
    <w:p>
      <w:pPr>
        <w:spacing w:after="80" w:before="0"/>
        <w:ind w:firstLine="720"/>
        <w:jc w:val="both"/>
      </w:pPr>
      <w:r>
        <w:rPr>
          <w:rFonts w:ascii="Times New Roman" w:hAnsi="Times New Roman" w:eastAsia="Times New Roman"/>
          <w:b/>
          <w:i w:val="0"/>
          <w:sz w:val="28"/>
        </w:rPr>
        <w:t>a) Về hưởng ứng, tham gia các phòng trào thi đua</w:t>
      </w:r>
    </w:p>
    <w:p>
      <w:pPr>
        <w:spacing w:after="80" w:before="0"/>
        <w:ind w:firstLine="720"/>
        <w:jc w:val="both"/>
      </w:pPr>
      <w:r>
        <w:rPr>
          <w:rFonts w:ascii="Times New Roman" w:hAnsi="Times New Roman" w:eastAsia="Times New Roman"/>
          <w:b w:val="0"/>
          <w:i w:val="0"/>
          <w:sz w:val="28"/>
        </w:rPr>
        <w:t>Bản thân tôi luôn rất tích cực tham gia và hưởng ứng các phong trào thi đua do Thủ tướng Chính phủ và BHXH Việt Nam phát động; đồng thời vận động kêu gọi các đoàn viên công đoàn là viên chức, người lao động Trung tâm hưởng ứng các phòng trào thi đua.</w:t>
      </w:r>
    </w:p>
    <w:p>
      <w:pPr>
        <w:spacing w:after="80" w:before="0"/>
        <w:ind w:left="283"/>
        <w:jc w:val="both"/>
      </w:pPr>
      <w:r>
        <w:rPr>
          <w:rFonts w:ascii="Times New Roman" w:hAnsi="Times New Roman" w:eastAsia="Times New Roman"/>
          <w:b w:val="0"/>
          <w:i w:val="0"/>
          <w:sz w:val="28"/>
        </w:rPr>
        <w:t>- Các phong trào thi đua do Thủ tướng Chính phủ phát động: “Cả nước chung sức xây dựng nông thôn mới”; “Cả nước chung tay vì người nghèo - không để ai bị bỏ lại phía sau”; “Doanh nghiệp Việt Nam hội nhập và phát triển”; “Đẩy mạnh phát triển kết cấu hạ tầng đồng bộ, hiện đại; thực hành tiết kiệm, chống lãng phí”; phong trào thi đua đặc biệt "Cả nước đoàn kết, chung sức, đồng lòng thi đua phòng, chống và chiến thắng đại dịch COVID-19".</w:t>
      </w:r>
    </w:p>
    <w:p>
      <w:pPr>
        <w:spacing w:after="80" w:before="0"/>
        <w:ind w:left="283"/>
        <w:jc w:val="both"/>
      </w:pPr>
      <w:r>
        <w:rPr>
          <w:rFonts w:ascii="Times New Roman" w:hAnsi="Times New Roman" w:eastAsia="Times New Roman"/>
          <w:b w:val="0"/>
          <w:i w:val="0"/>
          <w:sz w:val="28"/>
        </w:rPr>
        <w:t>- Các phong trào thi đua do Tổng Giám đốc BHXH Việt Nam phát động theo giai đoạn 2019 - 2024: phong trào thi đua “Quyết liệt thực hiện đồng bộ các giải pháp nhằm hoàn thành xuất sắc các chỉ tiêu năm 2019 về phát triển đối tượng tham gia BHXH, BHYT, BHTN”; phong trào thi đua yêu nước năm 2019 với chủ đề: “Công chức, viên chức ngành BHXH luôn nỗ lực, trách nhiệm, liêm chính, sáng tạo trong thực thi công vụ, quyết tâm phấn đấu hoàn thành xuất sắc nhiệm vụ năm 2019; lập nhiều thành tích hướng tới kỷ niệm 25 năm thành lập BHXH Việt Nam"; “Công chức, viên chức, người lao động ngành BHXH thi đua thực hiện văn hoá công sở” giai đoạn 2019 - 2025; phong trào thi đua năm 2020 với chủ đề: “Công chức, viên chức ngành BHXH nêu cao tinh thần đoàn kết, trách nhiệm; nỗ lực phấn đấu hoàn thành xuất sắc nhiệm vụ năm 2020”; phong trào thi đua năm 2021 với chủ đề “Đoàn kết, năng động, sáng tạo, nỗ lực thi đua hoàn thành xuất sắc nhiệm vụ được giao năm 2021”; phong trào thi đua yêu nước năm 2022 với chủ đề “Công chức, viên chức và người lao động ngành BHXH Việt Nam đoàn kết, quyết tâm cao, nỗ lực hành động, linh hoạt, sáng tạo, thi đua hoàn thành xuất sắc nhiệm vụ được giao năm 2022”; phong trào thi đua chuyên đề “Đẩy nhanh tiến độ triển khai ứng dụng VssID - Bảo hiểm xã hội số trên nền tảng thiết bị di động”; phong trào thi đua năm 2023 với chủ đề “Đoàn kết, kỷ cương, linh hoạt, sáng tạo, chuyên nghiệp hiệu quả”; phong trào thi đua năm 2024 với chủ đề “Đoàn kết, kỷ cương, linh hoạt, sáng tạo, chuyên nghiệp, hiệu quả, đổi mới, phát triển, lập thành tích xuất sắc hướng tới kỷ niệm 30 năm Ngày thành lập Bảo hiểm xã hội Việt Nam (16/02/1995-16/02/2025)”; phong trào thi đua năm 2024 với chủ đề “Đoàn kết, kỷ cương, trách nhiệm, sáng tạo, hiệu quả, phát triển BHXH, BHYT bền vũng bước vào kỷ nguyên mới”.</w:t>
      </w:r>
    </w:p>
    <w:p>
      <w:pPr>
        <w:spacing w:after="80" w:before="0"/>
        <w:ind w:left="283"/>
        <w:jc w:val="both"/>
      </w:pPr>
      <w:r>
        <w:rPr>
          <w:rFonts w:ascii="Times New Roman" w:hAnsi="Times New Roman" w:eastAsia="Times New Roman"/>
          <w:b w:val="0"/>
          <w:i w:val="0"/>
          <w:sz w:val="28"/>
        </w:rPr>
        <w:t>- Tích cực tham gia, thực hiện phong trào tiết kiệm, chống lãng phí, có tinh thần phục vụ nhân dân.</w:t>
      </w:r>
    </w:p>
    <w:p>
      <w:pPr>
        <w:spacing w:after="80" w:before="0"/>
        <w:ind w:left="283"/>
        <w:jc w:val="both"/>
      </w:pPr>
      <w:r>
        <w:rPr>
          <w:rFonts w:ascii="Times New Roman" w:hAnsi="Times New Roman" w:eastAsia="Times New Roman"/>
          <w:b w:val="0"/>
          <w:i w:val="0"/>
          <w:sz w:val="28"/>
        </w:rPr>
        <w:t>- Tích cực tham gia các hoạt động do Công đoàn Viên chức Việt Nam và Công đoàn cơ quan BHXH Việt Nam phát động trong năm 2024 như: Cuộc thi trực tuyến “Tìm hiểu Nghị quyết Hội nghị Trung ương 8 Khóa XIII”. Cuộc thi trực tuyến “Công nhân, viên chức, lao động tìm hiểu về công tác an toàn, vệ sinh lao động”.</w:t>
      </w:r>
    </w:p>
    <w:p>
      <w:pPr>
        <w:spacing w:after="80" w:before="0"/>
        <w:ind w:left="283"/>
        <w:jc w:val="both"/>
      </w:pPr>
      <w:r>
        <w:rPr>
          <w:rFonts w:ascii="Times New Roman" w:hAnsi="Times New Roman" w:eastAsia="Times New Roman"/>
          <w:b w:val="0"/>
          <w:i w:val="0"/>
          <w:sz w:val="28"/>
        </w:rPr>
        <w:t>- Tham gia, hưởng ứng các hoạt động: Hoạt động tình nguyện thường niên “Ủng hộ 01 ngày lương vào quỹ hoạt động tình nghĩa của Ngành”.</w:t>
      </w:r>
    </w:p>
    <w:p>
      <w:pPr>
        <w:spacing w:after="80" w:before="0"/>
        <w:ind w:firstLine="720"/>
        <w:jc w:val="both"/>
      </w:pPr>
      <w:r>
        <w:rPr>
          <w:rFonts w:ascii="Times New Roman" w:hAnsi="Times New Roman" w:eastAsia="Times New Roman"/>
          <w:b w:val="0"/>
          <w:i w:val="0"/>
          <w:color w:val="C00000"/>
          <w:sz w:val="28"/>
        </w:rPr>
        <w:t>Từ việc chỉ đạo sát sao và tích cực hưởng ứng các phong trào thi đua, tôi đã đạt được nhiều thành tích nổi bật trong suốt quá trình công tác gắn liền với ứng dụng công nghệ thông tin và thúc đẩy chuyển đổi số trong ngành Bảo hiểm xã hội.</w:t>
      </w:r>
    </w:p>
    <w:p>
      <w:pPr>
        <w:spacing w:after="80" w:before="0"/>
        <w:ind w:firstLine="720"/>
        <w:jc w:val="both"/>
      </w:pPr>
      <w:r>
        <w:rPr>
          <w:rFonts w:ascii="Times New Roman" w:hAnsi="Times New Roman" w:eastAsia="Times New Roman"/>
          <w:b/>
          <w:i w:val="0"/>
          <w:sz w:val="28"/>
        </w:rPr>
        <w:t>b) Kết quả thực hiện nhiệm vụ</w:t>
      </w:r>
    </w:p>
    <w:p>
      <w:pPr>
        <w:spacing w:after="80"/>
        <w:ind w:firstLine="720"/>
        <w:jc w:val="both"/>
      </w:pPr>
      <w:r>
        <w:rPr>
          <w:rFonts w:ascii="Times New Roman" w:hAnsi="Times New Roman" w:eastAsia="Times New Roman"/>
          <w:b/>
          <w:i/>
          <w:color w:val="1F497D"/>
          <w:sz w:val="22"/>
        </w:rPr>
        <w:t xml:space="preserve">[Đề xuất chuyển xuống mục d)]: </w:t>
      </w:r>
      <w:r>
        <w:rPr>
          <w:rFonts w:ascii="Times New Roman" w:hAnsi="Times New Roman" w:eastAsia="Times New Roman"/>
          <w:b w:val="0"/>
          <w:i w:val="0"/>
          <w:strike/>
          <w:color w:val="1F497D"/>
          <w:sz w:val="26"/>
        </w:rPr>
        <w:t xml:space="preserve">Trong suốt quá trình triển khai thực hiện nhiệm vụ, tôi luôn gương mẫu chấp hành tốt các chủ trương, đường lối của Đảng, chính sách pháp luật của Nhà nước, nội quy, quy chế của cơ quan, giữ gìn đoàn kết nội bộ, thực hiện tốt quy chế dân chủ cơ sở. Có lối sống lành mạnh, giản dị, không tham ô, tham nhũng, lãng phí. Tích cực tham gia các phong trào thi đua, các cuộc vận động do Chính phủ, hệ thống BHXH, các tổ chức đảng, đoàn thể phát động. </w:t>
      </w:r>
    </w:p>
    <w:p>
      <w:pPr>
        <w:spacing w:after="80" w:before="0"/>
        <w:ind w:firstLine="567"/>
        <w:jc w:val="both"/>
      </w:pPr>
      <w:r>
        <w:rPr>
          <w:rFonts w:ascii="Times New Roman" w:hAnsi="Times New Roman" w:eastAsia="Times New Roman"/>
          <w:b w:val="0"/>
          <w:i w:val="0"/>
          <w:color w:val="C00000"/>
          <w:sz w:val="28"/>
        </w:rPr>
        <w:t>Với vai trò là Phó Giám đốc trực tiếp phụ trách lĩnh vực công nghệ thông tin và chuyển đổi số, tôi đã chủ động tham mưu và chỉ đạo toàn diện các mảng công tác then chốt: quản lý, vận hành ổn định và không ngừng phát triển Hệ thống thông tin giám định BHYT; khai thác, phân tích dữ liệu, xây dựng các chuyên đề giám định; thực hiện thanh toán đa tuyến ngoại tỉnh; thúc đẩy chuyển đổi số và xây dựng cơ sở dữ liệu quốc gia về BHYT; đồng thời hoàn thành tốt các công tác công đoàn trong đơn vị:</w:t>
      </w:r>
    </w:p>
    <w:p>
      <w:pPr>
        <w:spacing w:after="80" w:before="0"/>
        <w:jc w:val="both"/>
      </w:pPr>
      <w:r>
        <w:rPr>
          <w:rFonts w:ascii="Times New Roman" w:hAnsi="Times New Roman" w:eastAsia="Times New Roman"/>
          <w:b/>
          <w:i w:val="0"/>
          <w:sz w:val="28"/>
        </w:rPr>
        <w:t>* Kết quả thực hiện nhiệm vụ năm 2016</w:t>
      </w:r>
    </w:p>
    <w:p>
      <w:pPr>
        <w:spacing w:after="80" w:before="0"/>
        <w:ind w:left="283"/>
        <w:jc w:val="both"/>
      </w:pPr>
      <w:r>
        <w:rPr>
          <w:rFonts w:ascii="Times New Roman" w:hAnsi="Times New Roman" w:eastAsia="Times New Roman"/>
          <w:b w:val="0"/>
          <w:i w:val="0"/>
          <w:sz w:val="28"/>
        </w:rPr>
        <w:t>- Tham mưu lãnh đạo đơn vị trong việc triển khai ứng dụng công nghệ thông tin trong công tác quản lý, giám định chi phí khám bệnh, chữa bệnh (KCB) bảo hiểm y tế (BHYT); hướng dẫn nghiệp vụ, hỗ trợ địa phương ứng dụng CNTT trong quản lý dự liệu chi phí khám chữa bệnh BHYT trên phạm vi toàn quốc;</w:t>
      </w:r>
    </w:p>
    <w:p>
      <w:pPr>
        <w:spacing w:after="80" w:before="0"/>
        <w:ind w:left="283"/>
        <w:jc w:val="both"/>
      </w:pPr>
      <w:r>
        <w:rPr>
          <w:rFonts w:ascii="Times New Roman" w:hAnsi="Times New Roman" w:eastAsia="Times New Roman"/>
          <w:b w:val="0"/>
          <w:i w:val="0"/>
          <w:sz w:val="28"/>
        </w:rPr>
        <w:t xml:space="preserve">- Trực tiếp tổng hợp và phân tích dữ liệu về chi phí khám chữa bệnh BHYT; </w:t>
      </w:r>
    </w:p>
    <w:p>
      <w:pPr>
        <w:spacing w:after="80" w:before="0"/>
        <w:ind w:left="283"/>
        <w:jc w:val="both"/>
      </w:pPr>
      <w:r>
        <w:rPr>
          <w:rFonts w:ascii="Times New Roman" w:hAnsi="Times New Roman" w:eastAsia="Times New Roman"/>
          <w:b w:val="0"/>
          <w:i w:val="0"/>
          <w:sz w:val="28"/>
        </w:rPr>
        <w:t xml:space="preserve">- Xây dựng và triển khai phần mềm Thống kê chi phí KCB BHYT (Phân hệ HMS). </w:t>
      </w:r>
    </w:p>
    <w:p>
      <w:pPr>
        <w:spacing w:after="80" w:before="0"/>
        <w:ind w:left="283"/>
        <w:jc w:val="both"/>
      </w:pPr>
      <w:r>
        <w:rPr>
          <w:rFonts w:ascii="Times New Roman" w:hAnsi="Times New Roman" w:eastAsia="Times New Roman"/>
          <w:b w:val="0"/>
          <w:i w:val="0"/>
          <w:sz w:val="28"/>
        </w:rPr>
        <w:t>- Tham gia xây dựng danh mục dùng chung; xây dựng chuẩn cấu trúc dữ liệu trong quản lý chi phí KCB BHYT; thành viên xây dựng và triển khai Hệ thống của hệ thống Bảo hiểm xã hội Việt Nam theo Quyết định số 583/QĐ-BHXH ngày 12/5/2015.</w:t>
      </w:r>
    </w:p>
    <w:p>
      <w:pPr>
        <w:spacing w:after="80" w:before="0"/>
        <w:jc w:val="both"/>
      </w:pPr>
      <w:r>
        <w:rPr>
          <w:rFonts w:ascii="Times New Roman" w:hAnsi="Times New Roman" w:eastAsia="Times New Roman"/>
          <w:b/>
          <w:i w:val="0"/>
          <w:sz w:val="28"/>
        </w:rPr>
        <w:t xml:space="preserve"> * Về quản lý, vận hành và phát triển các phần mềm nghiệp vụ thuộc Hệ thống.</w:t>
      </w:r>
    </w:p>
    <w:p>
      <w:pPr>
        <w:spacing w:after="80" w:before="0"/>
        <w:ind w:left="283"/>
        <w:jc w:val="both"/>
      </w:pPr>
      <w:r>
        <w:rPr>
          <w:rFonts w:ascii="Times New Roman" w:hAnsi="Times New Roman" w:eastAsia="Times New Roman"/>
          <w:b/>
          <w:i w:val="0"/>
          <w:sz w:val="28"/>
        </w:rPr>
        <w:t>- Năm 2017: Hệ thống chính thức được khai thác để thực hiện các quy trình của nghiệp vụ giám định BHYT từ tháng 01/2017. Trong năm Hệ thống đã tiếp nhận dữ liệu của 168, 89 triệu lượt khám chữa bệnh đề nghị thanh toán BHYT, tỷ lệ liên thông dữ liệu trên 95%.</w:t>
      </w:r>
    </w:p>
    <w:p>
      <w:pPr>
        <w:spacing w:after="80" w:before="0"/>
        <w:ind w:firstLine="720"/>
        <w:jc w:val="both"/>
      </w:pPr>
      <w:r>
        <w:rPr>
          <w:rFonts w:ascii="Times New Roman" w:hAnsi="Times New Roman" w:eastAsia="Times New Roman"/>
          <w:b w:val="0"/>
          <w:i w:val="0"/>
          <w:sz w:val="28"/>
        </w:rPr>
        <w:t>Với việc ứng dụng Hệ thống, hầu hết các quy trình nghiệp vụ có thể tự động hoá đã được thực hiện bằng các chức năng của phần mềm, qua đó nâng cao chất lượng các nghiệp vụ đồng thời giúp giảm hàng trăm giờ làm việc của cán bộ giám định. Các nghiệp vụ đã tự động hoá toàn bộ gồm: kiểm tra thông tin, giá trị sử dụng thẻ BHYT; kiểm tra tính chính xác, logic của dữ liệu đề nghị thanh toán; giám định mức hưởng, phạm vi thanh toán thuộc danh mục thuốc, vật tư y tế và dịch vụ kỹ thuật; thực hiện giám định tỷ lệ, thông báo kết quả giám định, quy trình thanh toán đa tuyến; lập báo cáo quyết toán và thẩm định quyết toán. Các nghiệp vụ tự động hoá một phần gồm: thẩm định ký hợp đồng khám chữa bệnh, giám định chủ động (các hồ sơ nghi ngờ được phần mềm tự động đặt trạng thái bắt buộc giám định hoặc các hồ sơ do cán bộ giám định chủ động giám định, kết quả giám định được ghi nhận trên Hệ thống); các báo cáo thống kê, quyết toán chưa được xác thực do chưa triển khai đồng bộ chữ ký số trong toàn Ngành.</w:t>
      </w:r>
    </w:p>
    <w:p>
      <w:pPr>
        <w:spacing w:after="80" w:before="0"/>
        <w:ind w:firstLine="720"/>
        <w:jc w:val="both"/>
      </w:pPr>
      <w:r>
        <w:rPr>
          <w:rFonts w:ascii="Times New Roman" w:hAnsi="Times New Roman" w:eastAsia="Times New Roman"/>
          <w:b w:val="0"/>
          <w:i w:val="0"/>
          <w:sz w:val="28"/>
        </w:rPr>
        <w:t xml:space="preserve">Các chức năng của Hệ thống được hoàn thiện, phát triển, cập nhật thường xuyên. Các chức năng và thông tin từ Hệ thống kịp thời phát hiện và công khai các trường hợp lạm dụng BHYT, giúp BHXH tỉnh, thành phố kịp thời kiểm tra, giám định lại các khoản chi BHYT. Các nghiệp vụ tạm ứng, thanh quyết toán trong khám chữa bệnh BHYT của BHXH cấp tỉnh và huyện với các cơ sở y tế được thực hiện theo quy trình khép kín, liên thông và có cơ chế kiểm soát, đối chiếu giữa các phần mềm nghiệp vụ, đảm bảo minh bạch, chính xác trong quản lý tài chính. </w:t>
      </w:r>
    </w:p>
    <w:p>
      <w:pPr>
        <w:spacing w:after="80" w:before="0"/>
        <w:ind w:left="283"/>
        <w:jc w:val="both"/>
      </w:pPr>
      <w:r>
        <w:rPr>
          <w:rFonts w:ascii="Times New Roman" w:hAnsi="Times New Roman" w:eastAsia="Times New Roman"/>
          <w:b/>
          <w:i w:val="0"/>
          <w:sz w:val="28"/>
        </w:rPr>
        <w:t xml:space="preserve">- Năm 2018: tiếp nhận dữ liệu của 176,52 triệu lượt khám chữa bệnh với chi phí đề nghị thanh toán trên 98.426,8 tỷ đồng, tỷ lệ liên thông đạt 98,02%. Nghiên cứu, xây dựng, bổ sung các phân hệ (phần mềm thuộc hệ thống), đồng thời liên thông Hệ thống với các phần mềm nghiệp vụ khác trong hệ thống BHXH nhằm đáp ứng mục tiêu tối ưu hoá, tự động hoá các nghiệp vụ trong quản lý chi khám chữa bệnh BHYT cũng như các nghiệp vụ trong công tác phát hành thẻ, thẩm định giải quyết các chế độ hưởng BHXH, thẩm định quyết toán tập trung tại Trung ương. Đến nay, Hệ thống bao gồm: Cổng Tiếp nhận, Phần mềm Giám định; Phần mềm Giám định; Phần mềm Quản lý thuốc. Các phần mềm thuộc Hệ thống thường xuyên được xây dựng bổ sung các chức năng, tính năng mới, cập nhật các quy tắc giám định tự động, giám định chủ động, áp dụng thống nhất trên toàn quốc, nâng cao chất lượng công tác giám định, hỗ trợ hiệu quả cho BHXH các tỉnh đặc biệt là các đơn vị thiếu cán bộ có chuyên môn y, dược. </w:t>
      </w:r>
    </w:p>
    <w:p>
      <w:pPr>
        <w:spacing w:after="80" w:before="0"/>
        <w:ind w:left="283"/>
        <w:jc w:val="both"/>
      </w:pPr>
      <w:r>
        <w:rPr>
          <w:rFonts w:ascii="Times New Roman" w:hAnsi="Times New Roman" w:eastAsia="Times New Roman"/>
          <w:b/>
          <w:i w:val="0"/>
          <w:sz w:val="28"/>
        </w:rPr>
        <w:t xml:space="preserve">- Năm 2019: Xây dựng, bổ sung các phân hệ mới là phần mềm Giám sát và phần mềm Quản lý thuốc; liên thông các phần mềm nghiệp vụ BHXH là: TST (Thu, sổ thẻ), TCS (giải quyết hưởng BHXH), KTTT (Kế toán tập trung); Phần mềm Giám sát được cập nhật bổ sung các chỉ tiêu giám sát trên 4 bản đồ, 15 biểu đồ, 25 báo cáo động; chức năng cảnh báo mới được xây dựng trong năm để quản lý cung ứng và thanh toán thuốc ARV; Theo dõi sử dụng và điều tiết thuốc đấu thầu tập trung quốc gia; Cảnh báo các bất thường, lạm dụng BHYT, sử dụng thuốc giá cao không hợp lý; Điều chỉnh theo các quy định về phân quyền cấp mã cơ sở khám chữa bệnh BHYT cho địa phương trên Cổng Tiếp nhận; Tiếp nhận dữ liệu từ BHXH Bộ Quốc phòng; tra cứu thẻ BHYT; Cấp giấy chứng nhận nghỉ hưởng BHXH… tiếp nhận dữ liệu theo Quyết định 4210/QĐ-BYT đến hết năm 2019 có gần 13 nghìn cơ sở khám bệnh, chữa bệnh BHYT đã liên thông dữ liệu với Hệ thống, tỷ lệ gửi dữ liệu đúng ngày đạt 89,02% cao hơn năm 2018 là 26,62% (năm 2018 đạt 62,4%). </w:t>
      </w:r>
    </w:p>
    <w:p>
      <w:pPr>
        <w:spacing w:after="80" w:before="0"/>
        <w:ind w:left="283"/>
        <w:jc w:val="both"/>
      </w:pPr>
      <w:r>
        <w:rPr>
          <w:rFonts w:ascii="Times New Roman" w:hAnsi="Times New Roman" w:eastAsia="Times New Roman"/>
          <w:b/>
          <w:i w:val="0"/>
          <w:sz w:val="28"/>
        </w:rPr>
        <w:t>- Năm 2020: Hệ thống tiếp tục được phát triển, hoàn thiện và xây dựng bổ sung 11 chức năng trên phần mềm giám định, xây dựng các báo cáo quyết toán theo các hướng dẫn mới, liên thông với phần mềm Kế toán tập trung, phần mềm Thẩm định quyết toán của ngành; triển khai tích hợp chữ ký số nội bộ các báo cáo thuộc phần mềm Giám định; Phần mềm Giám sát được phát triển mới các chức năng cảnh báo các dấu hiệu lạm dụng, trục lợi trong khám chữa bệnh, phát triển mới 24 bản đồ, 05 biểu đồ, 14 báo cáo động phân tích chi phí khám chữa bệnh, thông tin được cập nhật định kỳ hàng ngày hoặc hằng tháng. Tỷ lệ dữ liệu khám bệnh, chữa bệnh BHYT liên thông với Hệ thống toàn quốc bình quân đạt 97,6%, chất lượng dữ liệu được nâng lên rõ rệt, hầu hết các tỉnh đã khắc phục được tình trạng gửi lại, thay thế dữ liệu; trong đó, tỷ lệ hồ sơ gửi đúng ngày toàn quốc là 92,4% (năm 2019 là 89%). Để phục vụ yêu cầu phòng chống dịch Covid 19, Hệ thống đã bổ sung chức năng theo dõi, giám sát các bệnh nền, cung cấp thông tin người đến khám chữa bệnh tại các cơ sở y tế bị cách ly để hỗ trợ phòng chống dịch.</w:t>
      </w:r>
    </w:p>
    <w:p>
      <w:pPr>
        <w:spacing w:after="80" w:before="0"/>
        <w:ind w:left="283"/>
        <w:jc w:val="both"/>
      </w:pPr>
      <w:r>
        <w:rPr>
          <w:rFonts w:ascii="Times New Roman" w:hAnsi="Times New Roman" w:eastAsia="Times New Roman"/>
          <w:b/>
          <w:i w:val="0"/>
          <w:sz w:val="28"/>
        </w:rPr>
        <w:t xml:space="preserve">- Năm 2021: Phần mềm Giám định tiếp tục được điều chỉnh, bổ sung 45 chức năng, bổ sung biểu mẫu quyết toán chi khám bệnh, chữa bệnh BHYT năm 2020 và 2021, cập nhật mới 21 quy tắc giám định dữ liệu đề nghị thanh toán, các quy tắc kiểm tra danh mục, kiểm tra hợp đồng khám bệnh, chữa bệnh BHYT, thông báo kết quả giám định BHYT, tích hợp chữ ký số trên các báo cáo nghiệp vụ...; Phần mềm Giám sát được bổ sung thêm 02 chức năng, 19 bản đồ, 05 biểu đồ; điều chỉnh 20 bản đồ, tích hợp hiển thị bản đồ và biểu đồ...Đặc biệt là các bảng tính toán quỹ định suất toàn quốc, của tỉnh và cơ sở khám chữa bệnh giúp BHXH các tỉnh, thành phố hiểu rõ phương pháp tính toán quỹ, các bảng chỉ tiêu chung toàn quốc và theo khu vực thuận tiện cho việc giám sát, so sánh tại từng địa phương. </w:t>
      </w:r>
    </w:p>
    <w:p>
      <w:pPr>
        <w:spacing w:after="80" w:before="0"/>
        <w:ind w:left="283"/>
        <w:jc w:val="both"/>
      </w:pPr>
      <w:r>
        <w:rPr>
          <w:rFonts w:ascii="Times New Roman" w:hAnsi="Times New Roman" w:eastAsia="Times New Roman"/>
          <w:b/>
          <w:i w:val="0"/>
          <w:sz w:val="28"/>
        </w:rPr>
        <w:t>- Năm 2022: Hệ thống tiếp tục được phát triển, hoàn thiện và xây dựng bổ sung các chức năng, tính năng giúp nâng cao hiệu suất, hiệu quả công tác giám định, kiểm soát chặt chẽ, hiệu quả quỹ BHYT, kịp thời phát hiện, ngăn ngừa lạm dụng, trục lợi quỹ BHYT. Trong năm 2022 đã tổ chức phân tích, xây dựng mới 73 chức năng trên các phần mềm nghiệp vụ, nâng cấp phần mềm giám định theo quy trình giám định BHYT mới, nâng cấp phần mềm quản lý thuốc phục vụ theo dõi cung ứng, thanh toán thuốc phòng chống HIV và lao; tạo lập tài khoản theo dõi thuốc ARV nguồn quỹ BHYT cho các đơn vị liên quan.</w:t>
      </w:r>
    </w:p>
    <w:p>
      <w:pPr>
        <w:spacing w:after="80" w:before="0"/>
        <w:ind w:left="283"/>
        <w:jc w:val="both"/>
      </w:pPr>
      <w:r>
        <w:rPr>
          <w:rFonts w:ascii="Times New Roman" w:hAnsi="Times New Roman" w:eastAsia="Times New Roman"/>
          <w:b/>
          <w:i w:val="0"/>
          <w:sz w:val="28"/>
        </w:rPr>
        <w:t>- Năm 2023: Tiếp tục nâng cấp, phát triển Hệ thống:  bổ sung 38 chức năng, 419 quy tắc, 07 bảng danh mục tại 12.846 cơ sở y tế theo Quy trình Giám định BHYT được ban hành theo Quyết định số 3618/QĐ-BHXH ngày 22/12/2022 của Tổng Giám đốc BHXH Việt; Phần mềm Giám sát đã phát triển thêm các bản đồ theo dõi tình hình chuẩn hoá danh mục, tổng hợp chi bình quân theo chẩn đoán, xây dựng các bảng theo dõi cơ sở y tế gia tăng bình quân chi khám bệnh, chữa bệnh BHYT hằng ngày và định kỳ hằng tháng để cảnh báo theo quy định tại Nghị định số 75/2023/NĐ-CP; Phần mềm Quản lý thuốc được nâng cấp lên phiên bản 3 theo chuẩn dữ liệu mới, kết nối với phần mềm Giám sát để theo dõi các cơ sở y tế liên thông dữ liệu theo Đề án 06, thống kê thuốc theo từng tiêu chí kỹ thuật, tạo lập cơ sở dữ liệu thuốc và vật tư y tế trúng thầu toàn quốc; Cổng Tiếp nhận được điều chỉnh để tiếp nhận dữ liệu kiểm thử theo chuẩn dữ liệu đầu ra ban hành theo Quyết định số 130/QĐ-BYT, kết nối với phần mềm Giám sát để hiển thị cảnh báo gia tăng chi bất thường tại từng cơ sở khám chữa bệnh theo quy định tại Nghị định số 75/2023/NĐ-CP.</w:t>
      </w:r>
    </w:p>
    <w:p>
      <w:pPr>
        <w:spacing w:after="80" w:before="0"/>
        <w:ind w:left="283"/>
        <w:jc w:val="both"/>
      </w:pPr>
      <w:r>
        <w:rPr>
          <w:rFonts w:ascii="Times New Roman" w:hAnsi="Times New Roman" w:eastAsia="Times New Roman"/>
          <w:b/>
          <w:i w:val="0"/>
          <w:sz w:val="28"/>
        </w:rPr>
        <w:t>- Năm 2024: tiếp tục bổ sung, phát triển, điều chỉnh các quy tắc, chức năng của Hệ thống phù hợp với quy trình giám định BHYT ban hành kèm theo Quyết định số 3618/QĐ-BHXH (nâng cấp mới 14 chức năng; 01 tính năng; điều chỉnh mẫu C82-HD theo Nghị định 75/2023/NĐ-CP; điều chỉnh danh mục thuốc; các quy tắc liên quan tới dịch vụ kỹ thuật); điều chỉnh chức năng vượt định mức bàn khám, giường kế hoạch, bổ sung chức năng: Import từ chối vượt dự kiến chi và số chi KCB năm trước trên mẫu C82-HD, điều chỉnh các Phụ biểu 01, Phụ biểu 02, Phụ biểu 03, Phụ biểu 04 phục vụ Quyết toán chi KCB BHYT năm 2023 trên Phần mềm giám định; điều chỉnh các chức năng trên Hệ thống theo Quyết định số 4750/QĐ-BYT về việc sửa đổi, bổ sung Quyết định số 130/QĐ-BYT về chuẩn định dạng dữ liệu đầu ra. Phối hợp với Trung tâm Công nghệ thông tin xây dựng, kiểm thử chức năng cảnh báo gia tăng bất thường theo Nghị định số 75/2023/NĐ-CP; xây dựng chức năng cập nhật danh mục dịch vụ kỹ thuật theo Thông tư số 23/2024/TT-BYT ngày 18/10/2024 của Bộ Y tế về việc ban hành danh mục dịch vụ kỹ thuật trong KBCB trên Cổng tiếp nhận. Nâng cấp 05 biểu đồ; bổ sung 05 bản đồ/biểu đồ cảnh báo; bổ sung mới 04 bản đồ, nâng cấp 02 bản đồ; xây dựng 05 báo cáo động phục vụ theo dõi tổng hợp tình hình gia tăng chi phí KCB BHYT theo Nghị định số 75/2023/NĐ-CP trên phần mềm Giám sát. Phần mềm Quản lý thuốc đã xây dựng bổ sung biểu đồ theo dõi tình hình gửi dữ liệu theo Chuẩn 4750, hồ sơ gửi dữ liệu Bảng 13, 14, 15 để Bộ Y tế, Sở Y tế khai thác sử dụng.</w:t>
      </w:r>
    </w:p>
    <w:p>
      <w:pPr>
        <w:spacing w:after="80" w:before="0"/>
        <w:ind w:firstLine="720"/>
        <w:jc w:val="both"/>
      </w:pPr>
      <w:r>
        <w:rPr>
          <w:rFonts w:ascii="Times New Roman" w:hAnsi="Times New Roman" w:eastAsia="Times New Roman"/>
          <w:b w:val="0"/>
          <w:i w:val="0"/>
          <w:sz w:val="28"/>
        </w:rPr>
        <w:t>Kiểm thử Phần mềm AI-OCR; thí điểm khai phá dữ liệu và ứng dụng trí tuệ nhân tạo vào kiểm soát chi phí KCB BHYT. Tiếp tục rà soát dữ liệu 15 chuyên đề do Ban Thực hiện chính sách BHYT đề nghị để hỗ trợ BHXH các tỉnh, thành phố rà soát chi phí vượt tổng mức thanh toán, vượt dự toán Thủ tướng Chính phủ giao các năm 2019, 2020 và năm 2022. Tổng hợp 536 chuyên đề, trong đó: 195 chuyên đề về DVKT (trong đó có 27 chuyên đề mới); 73 chuyên đề về thuốc (trong đó có 04 chuyên đề mới); 266 chuyên đề về tổng hợp phân tích dự báo (trong đó có 22 chuyên đề mới); 02 chuyên đề mới về VTYT.</w:t>
      </w:r>
    </w:p>
    <w:p>
      <w:pPr>
        <w:spacing w:after="80" w:before="0"/>
        <w:ind w:left="283"/>
        <w:jc w:val="both"/>
      </w:pPr>
      <w:r>
        <w:rPr>
          <w:rFonts w:ascii="Times New Roman" w:hAnsi="Times New Roman" w:eastAsia="Times New Roman"/>
          <w:b w:val="0"/>
          <w:i w:val="0"/>
          <w:sz w:val="28"/>
        </w:rPr>
        <w:t xml:space="preserve">- Từ tháng 03/2025 đến nay: </w:t>
      </w:r>
    </w:p>
    <w:p>
      <w:pPr>
        <w:spacing w:after="80" w:before="0"/>
        <w:ind w:firstLine="567"/>
        <w:jc w:val="both"/>
      </w:pPr>
      <w:r>
        <w:rPr>
          <w:rFonts w:ascii="Times New Roman" w:hAnsi="Times New Roman" w:eastAsia="Times New Roman"/>
          <w:b w:val="0"/>
          <w:i w:val="0"/>
          <w:sz w:val="28"/>
        </w:rPr>
        <w:t>Rà soát, đề xuất điều chỉnh các quy tắc, chức năng của Hệ thống theo các quy định mới của Luật BHYT số 51/2024/QH15, Nghị định số 02/2025/NĐ-CP, Thông tư số 01/2025/TT-BYT; xây dựng chỉ tiêu, phát triển công cụ giám sát thanh toán các chế độ BHXH trên dữ liệu điện tử; triển khi, điều chỉnh Hệ thống thông tin giám định đáp ứng Nghị định số 188/2025/NĐ-CP của Chính phủ.</w:t>
      </w:r>
    </w:p>
    <w:p>
      <w:pPr>
        <w:spacing w:after="80" w:before="0"/>
        <w:ind w:firstLine="567"/>
        <w:jc w:val="both"/>
      </w:pPr>
      <w:r>
        <w:rPr>
          <w:rFonts w:ascii="Times New Roman" w:hAnsi="Times New Roman" w:eastAsia="Times New Roman"/>
          <w:b w:val="0"/>
          <w:i w:val="0"/>
          <w:sz w:val="28"/>
        </w:rPr>
        <w:t>Đặc biệt trong quá trình tham mưu, xây dựng dự thảo Thông tư số 12/2026/TT-BTC ngày 10/02/2026 của Bộ Tài chính ban hành quy định trình tự, thủ tục giám định chi phí KCB BHYT, biểu mẫu tổng hợp thanh toán, quyết toán và biện pháp thi hành Nghị định số 188/2025/NĐ-CP háng 7 năm 2025 của Chính phủ quy định chi tiết và hướng dẫn thi hành một số điều của Luật Bảo hiểm y tế. Bản thân tôi và các đồng nghiệp đã chủ động tham mưu cho Giám đốc Trung tâm, Giám đốc BHXH Việt Nam xây dựng kế hoạch điều chỉnh nâng cấp các phần mềm nghiệp vụ thuộc Hệ thống thông tin giám định BHYT để đáp ứng kịp thời khi Thông tư được ban hành. Tính đến thời điểm hiện tại, Trung tâm đang phối hợp với các đơn vị liên quan cố gắng phấn đấu nâng cấp Hệ thống để đáp ứng các nhu cầu nghiệp vụ và đang tổ chức tập huấn, triển khai các nội dung trong Thông tư số 12/2026TT-BTC cho BHXH các tỉnh, BHXH các cơ sở trong toàn Hệ thống BHXH Việt Nam.</w:t>
      </w:r>
    </w:p>
    <w:p>
      <w:pPr>
        <w:spacing w:after="80" w:before="0"/>
        <w:ind w:firstLine="720"/>
        <w:jc w:val="both"/>
      </w:pPr>
      <w:r>
        <w:rPr>
          <w:rFonts w:ascii="Times New Roman" w:hAnsi="Times New Roman" w:eastAsia="Times New Roman"/>
          <w:b w:val="0"/>
          <w:i w:val="0"/>
          <w:sz w:val="26"/>
          <w:highlight w:val="yellow"/>
        </w:rPr>
        <w:t>Bản thân tôi đã trực tiếp tham gia nghiên cứu, đề xuất và thẩm định nhiều quy định kỹ thuật quan trọng trong Thông tư số 12/2026/TT-BTC, đặc biệt các quy định về quy trình giám định điện tử, chuẩn hóa biểu mẫu tổng hợp thanh toán và tích hợp với cơ sở dữ liệu quốc gia, từ đó đảm bảo Hệ thống được nâng cấp đồng bộ và triển khai kịp thời khi Thông tư có hiệu lực thi hành trên toàn hệ thống BHXH Việt Nam.</w:t>
      </w:r>
    </w:p>
    <w:p>
      <w:pPr>
        <w:spacing w:after="80" w:before="0"/>
        <w:jc w:val="both"/>
      </w:pPr>
      <w:r>
        <w:rPr>
          <w:rFonts w:ascii="Times New Roman" w:hAnsi="Times New Roman" w:eastAsia="Times New Roman"/>
          <w:b/>
          <w:i w:val="0"/>
          <w:sz w:val="28"/>
        </w:rPr>
        <w:t>* Về công tác phân tích dữ liệu, xây dựng các chuyên đề giám định BHYT và cảnh báo các chi phí gia tăng bất thường.</w:t>
      </w:r>
    </w:p>
    <w:p>
      <w:pPr>
        <w:spacing w:after="80" w:before="0"/>
        <w:ind w:left="283"/>
        <w:jc w:val="both"/>
      </w:pPr>
      <w:r>
        <w:rPr>
          <w:rFonts w:ascii="Times New Roman" w:hAnsi="Times New Roman" w:eastAsia="Times New Roman"/>
          <w:b w:val="0"/>
          <w:i w:val="0"/>
          <w:sz w:val="28"/>
        </w:rPr>
        <w:t>- Về công tác phân tích dữ liệu xây dựng chuyên đề giám định BHYT</w:t>
      </w:r>
    </w:p>
    <w:p>
      <w:pPr>
        <w:spacing w:after="80" w:before="0"/>
        <w:ind w:firstLine="720"/>
        <w:jc w:val="both"/>
      </w:pPr>
      <w:r>
        <w:rPr>
          <w:rFonts w:ascii="Times New Roman" w:hAnsi="Times New Roman" w:eastAsia="Times New Roman"/>
          <w:b/>
          <w:i w:val="0"/>
          <w:sz w:val="28"/>
        </w:rPr>
        <w:t>Căn cứ dữ liệu đề nghị thanh toán chi phí KCB BHYT của các cơ sở KCB gử trên Hệ thống, tôi đã tham mưu cho Thủ trưởng đơn vị và phối hợp với đồng nghiệp chỉ đạo các phòng nghiệp vụ chuẩn hóa các danh mục dùng chung, xây dựng các quy tắc giám định BHYT. Hằng năm, khai thác dữ liệu điện tử, để xây dựng các chuyên đề giám định BHYT (giám định chuyên đề) về: dịch vụ kỹ thuật, thuốc, máu, phân tích dự báo, thanh toán xét nghiệm, chỉ định điều trị, tiền khám, tiền giường....để rà soát, xử lý các trường hợp cơ sở khám bệnh, chữa bệnh BHYT đề nghị thanh toán sai qui định. Từ năm 2017- 2023, thông báo nhiều đợt giám định chuyên đề, hướng dẫn BHXH các tỉnh, thành phố thực hiện 402 chuyên đề, trong đó có 146 chuyên đề mới do Trung tâm xây dựng. Kết quả cụ thể:</w:t>
      </w:r>
    </w:p>
    <w:p>
      <w:pPr>
        <w:spacing w:after="80" w:before="0"/>
        <w:ind w:left="283"/>
        <w:jc w:val="both"/>
      </w:pPr>
      <w:r>
        <w:rPr>
          <w:rFonts w:ascii="Times New Roman" w:hAnsi="Times New Roman" w:eastAsia="Times New Roman"/>
          <w:b/>
          <w:i w:val="0"/>
          <w:sz w:val="28"/>
        </w:rPr>
        <w:t xml:space="preserve">- Năm 2017: thông báo 15 chuyên đề, số tiền đề nghị BHXH các tỉnh kiểm tra, giám định là 583,8 tỷ đồng; BHXH các tỉnh đã giám định, từ chối là 115,1 tỷ đồng, tỷ lệ 20,8%. Các đơn vị của BHXH Việt Nam đã khai thác, phân tích số liệu từ Hệ thống để thực hiện các nghiệp vụ kiểm toán, kiểm tra, thẩm định quyết toán chi khám chữa bệnh BHYT. Vụ Thanh tra - Kiểm tra kiến nghị thu hồi về quỹ BHYT 335,84 tỷ đồng, năm 2018 là 164,65 tỷ đồng; Ban Thực hiện chính sách BHYT thực hiện thẩm định quyết toán giảm trừ 1.977 tỷ đồng năm 2017 Hệ thống ghi nhận kết quả giám định giảm trừ số chi không hợp lý trên 2.584 tỷ đồng (tự động 902,69 tỷ đồng, chủ động 1.104,15 tỷ đồng, BHXH các tỉnh giảm trừ trên báo cáo quyết toán 577,16 tỷ đồng), gấp gần 4 lần khi chưa áp dụng giám định điện tử. </w:t>
      </w:r>
    </w:p>
    <w:p>
      <w:pPr>
        <w:spacing w:after="80" w:before="0"/>
        <w:ind w:left="283"/>
        <w:jc w:val="both"/>
      </w:pPr>
      <w:r>
        <w:rPr>
          <w:rFonts w:ascii="Times New Roman" w:hAnsi="Times New Roman" w:eastAsia="Times New Roman"/>
          <w:b/>
          <w:i w:val="0"/>
          <w:sz w:val="28"/>
        </w:rPr>
        <w:t>- Năm 2018: thông báo 46 chuyên đề, số tiền đề nghị BHXH các tỉnh kiểm tra, giám định là 415,1 tỷ đồng; BHXH các tỉnh đã giám định, từ chối là 123,1 tỷ đồng, tỷ lệ 20,8%. Hệ thống ghi nhận kết quả giám định giảm trừ số chi không hợp lý số tiền giảm trừ là 2.268,8 tỷ đồng (tự động 548,18 tỷ đồng, chủ động 1.075,89 tỷ đồng, trên quyết toán 644,73 tỷ đồng).</w:t>
      </w:r>
    </w:p>
    <w:p>
      <w:pPr>
        <w:spacing w:after="80" w:before="0"/>
        <w:ind w:left="283"/>
        <w:jc w:val="both"/>
      </w:pPr>
      <w:r>
        <w:rPr>
          <w:rFonts w:ascii="Times New Roman" w:hAnsi="Times New Roman" w:eastAsia="Times New Roman"/>
          <w:b/>
          <w:i w:val="0"/>
          <w:sz w:val="28"/>
        </w:rPr>
        <w:t xml:space="preserve">- Năm 2019: thông báo 121 chuyên đề, trong đó có 45 chuyên đề xây dựng mới; Thông báo 03 chuyên đề đề nghị BHXH các tỉnh, thành kiểm tra chi phí khám bệnh, chữa bệnh BHYT khoảng 192,9 tỷ đồng; số tiền BHXH các tỉnh, thành phố đã thu hồi trong 2 đợt giám định chuyên đề là 74,1 tỷ đồng (đạt 49,3%); Yêu cầu BHXH các tỉnh rà soát chi phí khám bệnh, chữa bệnh theo 51 chuyên đề năm 2018, giảm trừ 61 tỷ đồng (25%). Hệ thống ghi nhận kết quả giám định giảm trừ số chi không hợp lý số tiền giảm trừ là 2.456,2 tỷ đồng (tự động 126,6 tỷ đồng, chủ động 1.474,2 tỷ đồng, từ chối trên quyết toán 855,4 tỷ đồng). </w:t>
      </w:r>
    </w:p>
    <w:p>
      <w:pPr>
        <w:spacing w:after="80" w:before="0"/>
        <w:ind w:left="283"/>
        <w:jc w:val="both"/>
      </w:pPr>
      <w:r>
        <w:rPr>
          <w:rFonts w:ascii="Times New Roman" w:hAnsi="Times New Roman" w:eastAsia="Times New Roman"/>
          <w:b/>
          <w:i w:val="0"/>
          <w:sz w:val="28"/>
        </w:rPr>
        <w:t>- Năm 2020: Thực hiện gần 100 chuyên đề, trong đó có 22 chuyên đề xây dựng mới; Số tiền đã giảm trừ khi thực hiện các chuyên đề là 13,4 tỷ đồng. Các trường hợp lạm dụng, trục lợi quỹ BHYT được phát hiện, thông báo đến BHXH các tỉnh để xử lý, kết quả đã thu hồi 1,35 tỷ đồng. Hệ thống ghi nhận kết quả giám định giảm trừ số chi không hợp lý số tiền giảm trừ là 1.414,4 tỷ đồng (tự động 73,23 tỷ đồng, chủ động 1.027,34 tỷ đồng, trên quyết toán 313,83 tỷ đồng).</w:t>
      </w:r>
    </w:p>
    <w:p>
      <w:pPr>
        <w:spacing w:after="80" w:before="0"/>
        <w:ind w:left="283"/>
        <w:jc w:val="both"/>
      </w:pPr>
      <w:r>
        <w:rPr>
          <w:rFonts w:ascii="Times New Roman" w:hAnsi="Times New Roman" w:eastAsia="Times New Roman"/>
          <w:b/>
          <w:i w:val="0"/>
          <w:sz w:val="28"/>
        </w:rPr>
        <w:t>- Năm 2021: Tiếp tục thực hiện các chuyên đề đã xây dựng và 20 chuyên đề xây dựng mới; Thông báo 06 đợt giám định chuyên đề, từ chối thanh toán 36,6 tỷ đồng, điều chỉnh giảm 229.022 lần tách lượt khám bệnh, chữa bệnh ngoại trú và 4.571 lượt có chỉ định điều trị nội trú quá mức cần thiết, giảm trừ trên 4,0 tỷ đồng tiền khám và tiền giường, qua đó giảm tổng mức thanh toán khoảng trên 60 tỷ đồng. Số tiền giảm trừ do thống kê thanh toán chi phí khám bệnh, chữa bệnh BHYT chưa đúng quy định đối với người bệnh mắc Covid -19 của BHXH các tỉnh, thành phố là 3,48 tỷ đồng chiếm 52,9% số tiền đề nghị giám định của Trung tâm là 6,59 tỷ đồng. Hệ thống ghi nhận kết quả giám định giảm trừ số chi không hợp lý số tiền giảm trừ là 1.144,33 tỷ đồng (tự động 41,68 tỷ đồng, chủ động 852.127,42 tỷ đồng, trên quyết toán 292,159 tỷ đồng).</w:t>
      </w:r>
    </w:p>
    <w:p>
      <w:pPr>
        <w:spacing w:after="80" w:before="0"/>
        <w:ind w:left="283"/>
        <w:jc w:val="both"/>
      </w:pPr>
      <w:r>
        <w:rPr>
          <w:rFonts w:ascii="Times New Roman" w:hAnsi="Times New Roman" w:eastAsia="Times New Roman"/>
          <w:b/>
          <w:i w:val="0"/>
          <w:sz w:val="28"/>
        </w:rPr>
        <w:t>- Năm 2022: Các tháng đầu năm 2022 đã hướng dẫn giám định 35 chuyên đề (trong đó có 14 chuyên đề mới), giảm trừ 28,46 tỷ đồng, quý 4 đã yêu cầu BHXH các tỉnh giám định 59 chuyên đề (10 chuyên đề mới) với số tiền 70,1 tỷ đồng. Hệ thống ghi nhận kết quả giám định giảm trừ số chi không hợp lý số tiền giảm trừ là 1.156,98 tỷ đồng (tự động 46,23 tỷ đồng, chủ động 812,04 tỷ đồng, trên quyết toán 298,7 tỷ đồng).</w:t>
      </w:r>
    </w:p>
    <w:p>
      <w:pPr>
        <w:spacing w:after="80" w:before="0"/>
        <w:ind w:left="283"/>
        <w:jc w:val="both"/>
      </w:pPr>
      <w:r>
        <w:rPr>
          <w:rFonts w:ascii="Times New Roman" w:hAnsi="Times New Roman" w:eastAsia="Times New Roman"/>
          <w:b/>
          <w:i w:val="0"/>
          <w:sz w:val="28"/>
        </w:rPr>
        <w:t>- Năm 2023: Xây dựng và thực hiện 87 các chuyên đề (trong đó có 12 chuyên đề mới). Hướng dẫn, hỗ trợ BHXH các tỉnh chuẩn hoá các bảng danh mục theo Quyết định số 3618/QĐ-BHXH; Kiểm tra các danh mục dùng chung về thuốc, máu và dịch vụ kỹ thuật trước khi cập nhật lên Hệ thống, qua đó đã phát hiện và kiến nghị Bộ Y tế điều chỉnh các dịch vụ có giá chưa hợp lý; Thường xuyên hướng dẫn, hỗ trợ BHXH các tỉnh cập nhật các danh mục trên phần mềm giám định, kịp thời hướng dẫn giải quyết các vướng mắc trong tổ chức thực hiện; Hướng dẫn thực hiện các chuyên đề giám định các danh mục, điều kiện thanh toán và hồ sơ yêu cầu thanh toán như đăng ký hành nghề trùng thời gian giữa các cơ sở y tế, người hành nghề khám bệnh, chữa bệnh trong thời gian điều trị nội trú, thực hiện dịch vụ kỹ thuật vượt định mức thời gian. Hệ thống ghi nhận kết quả giám định giảm trừ số chi không hợp lý số tiền giảm trừ là 1.426,78 tỷ đồng (tự động 134,2 tỷ đồng, chủ động 1.292,6 tỷ đồng).</w:t>
      </w:r>
    </w:p>
    <w:p>
      <w:pPr>
        <w:spacing w:after="80" w:before="0"/>
        <w:ind w:left="283"/>
        <w:jc w:val="both"/>
      </w:pPr>
      <w:r>
        <w:rPr>
          <w:rFonts w:ascii="Times New Roman" w:hAnsi="Times New Roman" w:eastAsia="Times New Roman"/>
          <w:b/>
          <w:i w:val="0"/>
          <w:sz w:val="28"/>
        </w:rPr>
        <w:t>- Năm 2024: tôi đã tham mưu Giám đốc Trung tâm chỉ đạo thông báo 90 chuyên đề trong đó có 13 chuyên đề mới, tổng số tiền yêu cầu kiểm tra giám định là 184,23 tỷ đồng, kết quả số tiền thu hồi là 61,9 tỷ đồng.  Hệ thống ghi nhận kết quả giám định giảm trừ số chi không hợp lý của 3 quý đầu năm 2024 số tiền giảm trừ là 1.192,9 tỷ đồng (tự động 130,9 tỷ đồng, chủ động 1.062,0 tỷ đồng).</w:t>
      </w:r>
    </w:p>
    <w:p>
      <w:pPr>
        <w:spacing w:after="80" w:before="0"/>
        <w:ind w:left="283"/>
        <w:jc w:val="both"/>
      </w:pPr>
      <w:r>
        <w:rPr>
          <w:rFonts w:ascii="Times New Roman" w:hAnsi="Times New Roman" w:eastAsia="Times New Roman"/>
          <w:b w:val="0"/>
          <w:i w:val="0"/>
          <w:sz w:val="28"/>
        </w:rPr>
        <w:t>- Từ tháng 3/2025 đến nay: đã chỉ đạo các phòng nghiệp vụ thuộc lĩnh vực phụ trách tổng hợp các chuyên đề giám định trong thời điểm hạ tầng công nghệ thông tin chưa đáp ứng kịp yêu cầu nghiệp vụ phát sinh nhưng Trung tâm vẫn cố gắng hoàn thành việc tổng hợp dữ liệu KCB BHYT để BHXH các tỉnh tổ chức giám định.</w:t>
      </w:r>
    </w:p>
    <w:p>
      <w:pPr>
        <w:spacing w:after="40" w:before="0"/>
        <w:ind w:firstLine="720"/>
        <w:jc w:val="both"/>
      </w:pPr>
      <w:r>
        <w:rPr>
          <w:rFonts w:ascii="Times New Roman" w:hAnsi="Times New Roman" w:eastAsia="Times New Roman"/>
          <w:b/>
          <w:i w:val="0"/>
          <w:sz w:val="26"/>
          <w:highlight w:val="yellow"/>
        </w:rPr>
        <w:t>Tổng hợp kết quả xây dựng và thực hiện chuyên đề giám định BHYT (2017 – 2024):</w:t>
      </w:r>
    </w:p>
    <w:p>
      <w:pPr>
        <w:spacing w:after="40" w:before="0"/>
        <w:jc w:val="both"/>
      </w:pPr>
      <w:r>
        <w:rPr>
          <w:rFonts w:ascii="Times New Roman" w:hAnsi="Times New Roman" w:eastAsia="Times New Roman"/>
          <w:b w:val="0"/>
          <w:i/>
          <w:sz w:val="22"/>
          <w:highlight w:val="yellow"/>
        </w:rPr>
        <w:t>(Bảng tổng hợp – bổ sung mới)</w:t>
      </w:r>
    </w:p>
    <w:tbl>
      <w:tblPr>
        <w:tblStyle w:val="TableGrid"/>
        <w:tblW w:type="auto" w:w="0"/>
        <w:tblLook w:firstColumn="1" w:firstRow="1" w:lastColumn="0" w:lastRow="0" w:noHBand="0" w:noVBand="1" w:val="04A0"/>
      </w:tblPr>
      <w:tblGrid>
        <w:gridCol w:w="2268"/>
        <w:gridCol w:w="2268"/>
        <w:gridCol w:w="2268"/>
        <w:gridCol w:w="2268"/>
      </w:tblGrid>
      <w:tr>
        <w:tc>
          <w:tcPr>
            <w:tcW w:type="dxa" w:w="1247"/>
          </w:tcPr>
          <w:p>
            <w:pPr>
              <w:jc w:val="center"/>
            </w:pPr>
            <w:r>
              <w:rPr>
                <w:rFonts w:ascii="Times New Roman" w:hAnsi="Times New Roman" w:eastAsia="Times New Roman"/>
                <w:b/>
                <w:i w:val="0"/>
                <w:sz w:val="22"/>
                <w:highlight w:val="yellow"/>
              </w:rPr>
              <w:t>Năm</w:t>
            </w:r>
          </w:p>
        </w:tc>
        <w:tc>
          <w:tcPr>
            <w:tcW w:type="dxa" w:w="1984"/>
          </w:tcPr>
          <w:p>
            <w:pPr>
              <w:jc w:val="center"/>
            </w:pPr>
            <w:r>
              <w:rPr>
                <w:rFonts w:ascii="Times New Roman" w:hAnsi="Times New Roman" w:eastAsia="Times New Roman"/>
                <w:b/>
                <w:i w:val="0"/>
                <w:sz w:val="22"/>
                <w:highlight w:val="yellow"/>
              </w:rPr>
              <w:t>Số CĐ (CĐ mới)</w:t>
            </w:r>
          </w:p>
        </w:tc>
        <w:tc>
          <w:tcPr>
            <w:tcW w:type="dxa" w:w="2268"/>
          </w:tcPr>
          <w:p>
            <w:pPr>
              <w:jc w:val="center"/>
            </w:pPr>
            <w:r>
              <w:rPr>
                <w:rFonts w:ascii="Times New Roman" w:hAnsi="Times New Roman" w:eastAsia="Times New Roman"/>
                <w:b/>
                <w:i w:val="0"/>
                <w:sz w:val="22"/>
                <w:highlight w:val="yellow"/>
              </w:rPr>
              <w:t>Tiền YC kiểm tra (tỷ đ)</w:t>
            </w:r>
          </w:p>
        </w:tc>
        <w:tc>
          <w:tcPr>
            <w:tcW w:type="dxa" w:w="2438"/>
          </w:tcPr>
          <w:p>
            <w:pPr>
              <w:jc w:val="center"/>
            </w:pPr>
            <w:r>
              <w:rPr>
                <w:rFonts w:ascii="Times New Roman" w:hAnsi="Times New Roman" w:eastAsia="Times New Roman"/>
                <w:b/>
                <w:i w:val="0"/>
                <w:sz w:val="22"/>
                <w:highlight w:val="yellow"/>
              </w:rPr>
              <w:t>Tiền từ chối/giảm trừ (tỷ đ)</w:t>
            </w:r>
          </w:p>
        </w:tc>
      </w:tr>
      <w:tr>
        <w:tc>
          <w:tcPr>
            <w:tcW w:type="dxa" w:w="1247"/>
          </w:tcPr>
          <w:p>
            <w:r>
              <w:rPr>
                <w:rFonts w:ascii="Times New Roman" w:hAnsi="Times New Roman" w:eastAsia="Times New Roman"/>
                <w:b w:val="0"/>
                <w:i w:val="0"/>
                <w:sz w:val="22"/>
              </w:rPr>
              <w:t>2017</w:t>
            </w:r>
          </w:p>
        </w:tc>
        <w:tc>
          <w:tcPr>
            <w:tcW w:type="dxa" w:w="1984"/>
          </w:tcPr>
          <w:p>
            <w:pPr>
              <w:jc w:val="center"/>
            </w:pPr>
            <w:r>
              <w:rPr>
                <w:rFonts w:ascii="Times New Roman" w:hAnsi="Times New Roman" w:eastAsia="Times New Roman"/>
                <w:b w:val="0"/>
                <w:i w:val="0"/>
                <w:sz w:val="22"/>
              </w:rPr>
              <w:t>15</w:t>
            </w:r>
          </w:p>
        </w:tc>
        <w:tc>
          <w:tcPr>
            <w:tcW w:type="dxa" w:w="2268"/>
          </w:tcPr>
          <w:p>
            <w:pPr>
              <w:jc w:val="center"/>
            </w:pPr>
            <w:r>
              <w:rPr>
                <w:rFonts w:ascii="Times New Roman" w:hAnsi="Times New Roman" w:eastAsia="Times New Roman"/>
                <w:b w:val="0"/>
                <w:i w:val="0"/>
                <w:sz w:val="22"/>
              </w:rPr>
              <w:t>583,8</w:t>
            </w:r>
          </w:p>
        </w:tc>
        <w:tc>
          <w:tcPr>
            <w:tcW w:type="dxa" w:w="2438"/>
          </w:tcPr>
          <w:p>
            <w:pPr>
              <w:jc w:val="center"/>
            </w:pPr>
            <w:r>
              <w:rPr>
                <w:rFonts w:ascii="Times New Roman" w:hAnsi="Times New Roman" w:eastAsia="Times New Roman"/>
                <w:b w:val="0"/>
                <w:i w:val="0"/>
                <w:sz w:val="22"/>
              </w:rPr>
              <w:t>115,1 (20,8%)</w:t>
            </w:r>
          </w:p>
        </w:tc>
      </w:tr>
      <w:tr>
        <w:tc>
          <w:tcPr>
            <w:tcW w:type="dxa" w:w="1247"/>
          </w:tcPr>
          <w:p>
            <w:r>
              <w:rPr>
                <w:rFonts w:ascii="Times New Roman" w:hAnsi="Times New Roman" w:eastAsia="Times New Roman"/>
                <w:b w:val="0"/>
                <w:i w:val="0"/>
                <w:sz w:val="22"/>
              </w:rPr>
              <w:t>2018</w:t>
            </w:r>
          </w:p>
        </w:tc>
        <w:tc>
          <w:tcPr>
            <w:tcW w:type="dxa" w:w="1984"/>
          </w:tcPr>
          <w:p>
            <w:pPr>
              <w:jc w:val="center"/>
            </w:pPr>
            <w:r>
              <w:rPr>
                <w:rFonts w:ascii="Times New Roman" w:hAnsi="Times New Roman" w:eastAsia="Times New Roman"/>
                <w:b w:val="0"/>
                <w:i w:val="0"/>
                <w:sz w:val="22"/>
              </w:rPr>
              <w:t>46</w:t>
            </w:r>
          </w:p>
        </w:tc>
        <w:tc>
          <w:tcPr>
            <w:tcW w:type="dxa" w:w="2268"/>
          </w:tcPr>
          <w:p>
            <w:pPr>
              <w:jc w:val="center"/>
            </w:pPr>
            <w:r>
              <w:rPr>
                <w:rFonts w:ascii="Times New Roman" w:hAnsi="Times New Roman" w:eastAsia="Times New Roman"/>
                <w:b w:val="0"/>
                <w:i w:val="0"/>
                <w:sz w:val="22"/>
              </w:rPr>
              <w:t>415,1</w:t>
            </w:r>
          </w:p>
        </w:tc>
        <w:tc>
          <w:tcPr>
            <w:tcW w:type="dxa" w:w="2438"/>
          </w:tcPr>
          <w:p>
            <w:pPr>
              <w:jc w:val="center"/>
            </w:pPr>
            <w:r>
              <w:rPr>
                <w:rFonts w:ascii="Times New Roman" w:hAnsi="Times New Roman" w:eastAsia="Times New Roman"/>
                <w:b w:val="0"/>
                <w:i w:val="0"/>
                <w:sz w:val="22"/>
              </w:rPr>
              <w:t>123,1 (29,7%)</w:t>
            </w:r>
          </w:p>
        </w:tc>
      </w:tr>
      <w:tr>
        <w:tc>
          <w:tcPr>
            <w:tcW w:type="dxa" w:w="1247"/>
          </w:tcPr>
          <w:p>
            <w:r>
              <w:rPr>
                <w:rFonts w:ascii="Times New Roman" w:hAnsi="Times New Roman" w:eastAsia="Times New Roman"/>
                <w:b w:val="0"/>
                <w:i w:val="0"/>
                <w:sz w:val="22"/>
              </w:rPr>
              <w:t>2019</w:t>
            </w:r>
          </w:p>
        </w:tc>
        <w:tc>
          <w:tcPr>
            <w:tcW w:type="dxa" w:w="1984"/>
          </w:tcPr>
          <w:p>
            <w:pPr>
              <w:jc w:val="center"/>
            </w:pPr>
            <w:r>
              <w:rPr>
                <w:rFonts w:ascii="Times New Roman" w:hAnsi="Times New Roman" w:eastAsia="Times New Roman"/>
                <w:b w:val="0"/>
                <w:i w:val="0"/>
                <w:sz w:val="22"/>
              </w:rPr>
              <w:t>121 (45 mới)</w:t>
            </w:r>
          </w:p>
        </w:tc>
        <w:tc>
          <w:tcPr>
            <w:tcW w:type="dxa" w:w="2268"/>
          </w:tcPr>
          <w:p>
            <w:pPr>
              <w:jc w:val="center"/>
            </w:pPr>
            <w:r>
              <w:rPr>
                <w:rFonts w:ascii="Times New Roman" w:hAnsi="Times New Roman" w:eastAsia="Times New Roman"/>
                <w:b w:val="0"/>
                <w:i w:val="0"/>
                <w:sz w:val="22"/>
              </w:rPr>
              <w:t>192,9</w:t>
            </w:r>
          </w:p>
        </w:tc>
        <w:tc>
          <w:tcPr>
            <w:tcW w:type="dxa" w:w="2438"/>
          </w:tcPr>
          <w:p>
            <w:pPr>
              <w:jc w:val="center"/>
            </w:pPr>
            <w:r>
              <w:rPr>
                <w:rFonts w:ascii="Times New Roman" w:hAnsi="Times New Roman" w:eastAsia="Times New Roman"/>
                <w:b w:val="0"/>
                <w:i w:val="0"/>
                <w:sz w:val="22"/>
              </w:rPr>
              <w:t>74,1 (49,3%)</w:t>
            </w:r>
          </w:p>
        </w:tc>
      </w:tr>
      <w:tr>
        <w:tc>
          <w:tcPr>
            <w:tcW w:type="dxa" w:w="1247"/>
          </w:tcPr>
          <w:p>
            <w:r>
              <w:rPr>
                <w:rFonts w:ascii="Times New Roman" w:hAnsi="Times New Roman" w:eastAsia="Times New Roman"/>
                <w:b w:val="0"/>
                <w:i w:val="0"/>
                <w:sz w:val="22"/>
              </w:rPr>
              <w:t>2020</w:t>
            </w:r>
          </w:p>
        </w:tc>
        <w:tc>
          <w:tcPr>
            <w:tcW w:type="dxa" w:w="1984"/>
          </w:tcPr>
          <w:p>
            <w:pPr>
              <w:jc w:val="center"/>
            </w:pPr>
            <w:r>
              <w:rPr>
                <w:rFonts w:ascii="Times New Roman" w:hAnsi="Times New Roman" w:eastAsia="Times New Roman"/>
                <w:b w:val="0"/>
                <w:i w:val="0"/>
                <w:sz w:val="22"/>
              </w:rPr>
              <w:t>~100 (22 mới)</w:t>
            </w:r>
          </w:p>
        </w:tc>
        <w:tc>
          <w:tcPr>
            <w:tcW w:type="dxa" w:w="2268"/>
          </w:tcPr>
          <w:p>
            <w:pPr>
              <w:jc w:val="center"/>
            </w:pPr>
            <w:r>
              <w:rPr>
                <w:rFonts w:ascii="Times New Roman" w:hAnsi="Times New Roman" w:eastAsia="Times New Roman"/>
                <w:b w:val="0"/>
                <w:i w:val="0"/>
                <w:sz w:val="22"/>
              </w:rPr>
              <w:t>—</w:t>
            </w:r>
          </w:p>
        </w:tc>
        <w:tc>
          <w:tcPr>
            <w:tcW w:type="dxa" w:w="2438"/>
          </w:tcPr>
          <w:p>
            <w:pPr>
              <w:jc w:val="center"/>
            </w:pPr>
            <w:r>
              <w:rPr>
                <w:rFonts w:ascii="Times New Roman" w:hAnsi="Times New Roman" w:eastAsia="Times New Roman"/>
                <w:b w:val="0"/>
                <w:i w:val="0"/>
                <w:sz w:val="22"/>
              </w:rPr>
              <w:t>14,75</w:t>
            </w:r>
          </w:p>
        </w:tc>
      </w:tr>
      <w:tr>
        <w:tc>
          <w:tcPr>
            <w:tcW w:type="dxa" w:w="1247"/>
          </w:tcPr>
          <w:p>
            <w:r>
              <w:rPr>
                <w:rFonts w:ascii="Times New Roman" w:hAnsi="Times New Roman" w:eastAsia="Times New Roman"/>
                <w:b w:val="0"/>
                <w:i w:val="0"/>
                <w:sz w:val="22"/>
              </w:rPr>
              <w:t>2021</w:t>
            </w:r>
          </w:p>
        </w:tc>
        <w:tc>
          <w:tcPr>
            <w:tcW w:type="dxa" w:w="1984"/>
          </w:tcPr>
          <w:p>
            <w:pPr>
              <w:jc w:val="center"/>
            </w:pPr>
            <w:r>
              <w:rPr>
                <w:rFonts w:ascii="Times New Roman" w:hAnsi="Times New Roman" w:eastAsia="Times New Roman"/>
                <w:b w:val="0"/>
                <w:i w:val="0"/>
                <w:sz w:val="22"/>
              </w:rPr>
              <w:t>— (20 mới)</w:t>
            </w:r>
          </w:p>
        </w:tc>
        <w:tc>
          <w:tcPr>
            <w:tcW w:type="dxa" w:w="2268"/>
          </w:tcPr>
          <w:p>
            <w:pPr>
              <w:jc w:val="center"/>
            </w:pPr>
            <w:r>
              <w:rPr>
                <w:rFonts w:ascii="Times New Roman" w:hAnsi="Times New Roman" w:eastAsia="Times New Roman"/>
                <w:b w:val="0"/>
                <w:i w:val="0"/>
                <w:sz w:val="22"/>
              </w:rPr>
              <w:t>6,59</w:t>
            </w:r>
          </w:p>
        </w:tc>
        <w:tc>
          <w:tcPr>
            <w:tcW w:type="dxa" w:w="2438"/>
          </w:tcPr>
          <w:p>
            <w:pPr>
              <w:jc w:val="center"/>
            </w:pPr>
            <w:r>
              <w:rPr>
                <w:rFonts w:ascii="Times New Roman" w:hAnsi="Times New Roman" w:eastAsia="Times New Roman"/>
                <w:b w:val="0"/>
                <w:i w:val="0"/>
                <w:sz w:val="22"/>
              </w:rPr>
              <w:t>40,08</w:t>
            </w:r>
          </w:p>
        </w:tc>
      </w:tr>
      <w:tr>
        <w:tc>
          <w:tcPr>
            <w:tcW w:type="dxa" w:w="1247"/>
          </w:tcPr>
          <w:p>
            <w:r>
              <w:rPr>
                <w:rFonts w:ascii="Times New Roman" w:hAnsi="Times New Roman" w:eastAsia="Times New Roman"/>
                <w:b w:val="0"/>
                <w:i w:val="0"/>
                <w:sz w:val="22"/>
              </w:rPr>
              <w:t>2022</w:t>
            </w:r>
          </w:p>
        </w:tc>
        <w:tc>
          <w:tcPr>
            <w:tcW w:type="dxa" w:w="1984"/>
          </w:tcPr>
          <w:p>
            <w:pPr>
              <w:jc w:val="center"/>
            </w:pPr>
            <w:r>
              <w:rPr>
                <w:rFonts w:ascii="Times New Roman" w:hAnsi="Times New Roman" w:eastAsia="Times New Roman"/>
                <w:b w:val="0"/>
                <w:i w:val="0"/>
                <w:sz w:val="22"/>
              </w:rPr>
              <w:t>94 (24 mới)</w:t>
            </w:r>
          </w:p>
        </w:tc>
        <w:tc>
          <w:tcPr>
            <w:tcW w:type="dxa" w:w="2268"/>
          </w:tcPr>
          <w:p>
            <w:pPr>
              <w:jc w:val="center"/>
            </w:pPr>
            <w:r>
              <w:rPr>
                <w:rFonts w:ascii="Times New Roman" w:hAnsi="Times New Roman" w:eastAsia="Times New Roman"/>
                <w:b w:val="0"/>
                <w:i w:val="0"/>
                <w:sz w:val="22"/>
              </w:rPr>
              <w:t>—</w:t>
            </w:r>
          </w:p>
        </w:tc>
        <w:tc>
          <w:tcPr>
            <w:tcW w:type="dxa" w:w="2438"/>
          </w:tcPr>
          <w:p>
            <w:pPr>
              <w:jc w:val="center"/>
            </w:pPr>
            <w:r>
              <w:rPr>
                <w:rFonts w:ascii="Times New Roman" w:hAnsi="Times New Roman" w:eastAsia="Times New Roman"/>
                <w:b w:val="0"/>
                <w:i w:val="0"/>
                <w:sz w:val="22"/>
              </w:rPr>
              <w:t>98,56</w:t>
            </w:r>
          </w:p>
        </w:tc>
      </w:tr>
      <w:tr>
        <w:tc>
          <w:tcPr>
            <w:tcW w:type="dxa" w:w="1247"/>
          </w:tcPr>
          <w:p>
            <w:r>
              <w:rPr>
                <w:rFonts w:ascii="Times New Roman" w:hAnsi="Times New Roman" w:eastAsia="Times New Roman"/>
                <w:b w:val="0"/>
                <w:i w:val="0"/>
                <w:sz w:val="22"/>
              </w:rPr>
              <w:t>2023</w:t>
            </w:r>
          </w:p>
        </w:tc>
        <w:tc>
          <w:tcPr>
            <w:tcW w:type="dxa" w:w="1984"/>
          </w:tcPr>
          <w:p>
            <w:pPr>
              <w:jc w:val="center"/>
            </w:pPr>
            <w:r>
              <w:rPr>
                <w:rFonts w:ascii="Times New Roman" w:hAnsi="Times New Roman" w:eastAsia="Times New Roman"/>
                <w:b w:val="0"/>
                <w:i w:val="0"/>
                <w:sz w:val="22"/>
              </w:rPr>
              <w:t>87 (12 mới)</w:t>
            </w:r>
          </w:p>
        </w:tc>
        <w:tc>
          <w:tcPr>
            <w:tcW w:type="dxa" w:w="2268"/>
          </w:tcPr>
          <w:p>
            <w:pPr>
              <w:jc w:val="center"/>
            </w:pPr>
            <w:r>
              <w:rPr>
                <w:rFonts w:ascii="Times New Roman" w:hAnsi="Times New Roman" w:eastAsia="Times New Roman"/>
                <w:b w:val="0"/>
                <w:i w:val="0"/>
                <w:sz w:val="22"/>
              </w:rPr>
              <w:t>—</w:t>
            </w:r>
          </w:p>
        </w:tc>
        <w:tc>
          <w:tcPr>
            <w:tcW w:type="dxa" w:w="2438"/>
          </w:tcPr>
          <w:p>
            <w:pPr>
              <w:jc w:val="center"/>
            </w:pPr>
            <w:r>
              <w:rPr>
                <w:rFonts w:ascii="Times New Roman" w:hAnsi="Times New Roman" w:eastAsia="Times New Roman"/>
                <w:b w:val="0"/>
                <w:i w:val="0"/>
                <w:sz w:val="22"/>
              </w:rPr>
              <w:t>—</w:t>
            </w:r>
          </w:p>
        </w:tc>
      </w:tr>
      <w:tr>
        <w:tc>
          <w:tcPr>
            <w:tcW w:type="dxa" w:w="1247"/>
          </w:tcPr>
          <w:p>
            <w:r>
              <w:rPr>
                <w:rFonts w:ascii="Times New Roman" w:hAnsi="Times New Roman" w:eastAsia="Times New Roman"/>
                <w:b w:val="0"/>
                <w:i w:val="0"/>
                <w:sz w:val="22"/>
              </w:rPr>
              <w:t>2024</w:t>
            </w:r>
          </w:p>
        </w:tc>
        <w:tc>
          <w:tcPr>
            <w:tcW w:type="dxa" w:w="1984"/>
          </w:tcPr>
          <w:p>
            <w:pPr>
              <w:jc w:val="center"/>
            </w:pPr>
            <w:r>
              <w:rPr>
                <w:rFonts w:ascii="Times New Roman" w:hAnsi="Times New Roman" w:eastAsia="Times New Roman"/>
                <w:b w:val="0"/>
                <w:i w:val="0"/>
                <w:sz w:val="22"/>
              </w:rPr>
              <w:t>90 (13 mới)</w:t>
            </w:r>
          </w:p>
        </w:tc>
        <w:tc>
          <w:tcPr>
            <w:tcW w:type="dxa" w:w="2268"/>
          </w:tcPr>
          <w:p>
            <w:pPr>
              <w:jc w:val="center"/>
            </w:pPr>
            <w:r>
              <w:rPr>
                <w:rFonts w:ascii="Times New Roman" w:hAnsi="Times New Roman" w:eastAsia="Times New Roman"/>
                <w:b w:val="0"/>
                <w:i w:val="0"/>
                <w:sz w:val="22"/>
              </w:rPr>
              <w:t>184,23</w:t>
            </w:r>
          </w:p>
        </w:tc>
        <w:tc>
          <w:tcPr>
            <w:tcW w:type="dxa" w:w="2438"/>
          </w:tcPr>
          <w:p>
            <w:pPr>
              <w:jc w:val="center"/>
            </w:pPr>
            <w:r>
              <w:rPr>
                <w:rFonts w:ascii="Times New Roman" w:hAnsi="Times New Roman" w:eastAsia="Times New Roman"/>
                <w:b w:val="0"/>
                <w:i w:val="0"/>
                <w:sz w:val="22"/>
              </w:rPr>
              <w:t>61,9</w:t>
            </w:r>
          </w:p>
        </w:tc>
      </w:tr>
      <w:tr>
        <w:tc>
          <w:tcPr>
            <w:tcW w:type="dxa" w:w="1247"/>
          </w:tcPr>
          <w:p>
            <w:r>
              <w:rPr>
                <w:rFonts w:ascii="Times New Roman" w:hAnsi="Times New Roman" w:eastAsia="Times New Roman"/>
                <w:b/>
                <w:i w:val="0"/>
                <w:sz w:val="22"/>
                <w:highlight w:val="yellow"/>
              </w:rPr>
              <w:t>Tổng 2017-2024</w:t>
            </w:r>
          </w:p>
        </w:tc>
        <w:tc>
          <w:tcPr>
            <w:tcW w:type="dxa" w:w="1984"/>
          </w:tcPr>
          <w:p>
            <w:pPr>
              <w:jc w:val="center"/>
            </w:pPr>
            <w:r>
              <w:rPr>
                <w:rFonts w:ascii="Times New Roman" w:hAnsi="Times New Roman" w:eastAsia="Times New Roman"/>
                <w:b/>
                <w:i w:val="0"/>
                <w:sz w:val="22"/>
                <w:highlight w:val="yellow"/>
              </w:rPr>
              <w:t>402+ CĐ</w:t>
              <w:br/>
              <w:t>(146 CĐ mới)</w:t>
            </w:r>
          </w:p>
        </w:tc>
        <w:tc>
          <w:tcPr>
            <w:tcW w:type="dxa" w:w="2268"/>
          </w:tcPr>
          <w:p>
            <w:pPr>
              <w:jc w:val="center"/>
            </w:pPr>
            <w:r>
              <w:rPr>
                <w:rFonts w:ascii="Times New Roman" w:hAnsi="Times New Roman" w:eastAsia="Times New Roman"/>
                <w:b/>
                <w:i w:val="0"/>
                <w:sz w:val="22"/>
                <w:highlight w:val="yellow"/>
              </w:rPr>
              <w:t>—</w:t>
            </w:r>
          </w:p>
        </w:tc>
        <w:tc>
          <w:tcPr>
            <w:tcW w:type="dxa" w:w="2438"/>
          </w:tcPr>
          <w:p>
            <w:pPr>
              <w:jc w:val="center"/>
            </w:pPr>
            <w:r>
              <w:rPr>
                <w:rFonts w:ascii="Times New Roman" w:hAnsi="Times New Roman" w:eastAsia="Times New Roman"/>
                <w:b/>
                <w:i w:val="0"/>
                <w:sz w:val="22"/>
                <w:highlight w:val="yellow"/>
              </w:rPr>
              <w:t>~528 tỷ</w:t>
            </w:r>
          </w:p>
        </w:tc>
      </w:tr>
    </w:tbl>
    <w:p>
      <w:pPr>
        <w:spacing w:after="40" w:before="0"/>
        <w:jc w:val="both"/>
      </w:pPr>
      <w:r>
        <w:rPr>
          <w:rFonts w:ascii="Times New Roman" w:hAnsi="Times New Roman" w:eastAsia="Times New Roman"/>
          <w:b w:val="0"/>
          <w:i w:val="0"/>
          <w:sz w:val="26"/>
        </w:rPr>
      </w:r>
    </w:p>
    <w:p>
      <w:pPr>
        <w:spacing w:after="80" w:before="0"/>
        <w:ind w:left="283"/>
        <w:jc w:val="both"/>
      </w:pPr>
      <w:r>
        <w:rPr>
          <w:rFonts w:ascii="Times New Roman" w:hAnsi="Times New Roman" w:eastAsia="Times New Roman"/>
          <w:b w:val="0"/>
          <w:i w:val="0"/>
          <w:sz w:val="28"/>
        </w:rPr>
        <w:t>- Về công tác giám sát chi phí khám bệnh, chữa bệnh BHYT</w:t>
      </w:r>
    </w:p>
    <w:p>
      <w:pPr>
        <w:spacing w:after="80" w:before="0"/>
        <w:ind w:firstLine="720"/>
        <w:jc w:val="both"/>
      </w:pPr>
      <w:r>
        <w:rPr>
          <w:rFonts w:ascii="Times New Roman" w:hAnsi="Times New Roman" w:eastAsia="Times New Roman"/>
          <w:b w:val="0"/>
          <w:i w:val="0"/>
          <w:sz w:val="28"/>
        </w:rPr>
        <w:t xml:space="preserve">Qua công tác phân tích, đánh giá dữ liệu KCB BHYT giúp công tác giám sát, cảnh báo được thực hiện thường xuyên, bên cạnh các thông tin phân tích chung về sử dụng dự toán, các chỉ tiêu đánh giá chi khám bệnh, chữa bệnh BHYT, tỷ lệ nội trú, tần suất khám chữa bệnh, các phân tích chuyên môn được ưu tiên thực hiện như các chỉ định cụ thể đối với dịch vụ cận lâm sàng, chẩn đoán hình ảnh, phục hồi chức năng, sử dụng thuốc biệt dược gốc, thuốc có điều kiện thanh toán, thuốc kháng sinh, thuốc có hàm lượng ít cạnh tranh, giá cao… các cảnh báo, báo cáo, thông tin cập nhật trực tuyến định kỳ hàng tuần, hàng tháng trên phần mềm giám sát cùng với các yêu cầu cụ thể về các nội dung cần tập trung kiểm tra, giám định. </w:t>
      </w:r>
    </w:p>
    <w:p>
      <w:pPr>
        <w:spacing w:after="80" w:before="0"/>
        <w:ind w:firstLine="720"/>
        <w:jc w:val="both"/>
      </w:pPr>
      <w:r>
        <w:rPr>
          <w:rFonts w:ascii="Times New Roman" w:hAnsi="Times New Roman" w:eastAsia="Times New Roman"/>
          <w:b w:val="0"/>
          <w:i w:val="0"/>
          <w:sz w:val="28"/>
        </w:rPr>
        <w:t>Thực hiện Nghị định số 75/NĐ-CP ngày 19/10/2023 của Chính phủ, Trung tâm đã tập trung phân tích, xây dựng các chức năng cảnh báo các cơ sở KCBcó chi phí gia tăng bất thường so với các cơ sở cùng hạng, cùng tuyến, cùng chuyên khoa trên địa bàn tỉnh, vùng, toàn quốc tới từng cơ sở KCB, Sở Y tế, Bộ Y tế. Từ đó giúp các đơn vị chủ quản có những chỉ đạo, chấn chỉnh kịp thời tác động đến giảm chi phí bình quân cho một lượt KCB giúp giảm chi hàng ngày tỷ đồng từ quỹ BHYT.</w:t>
      </w:r>
    </w:p>
    <w:p>
      <w:pPr>
        <w:spacing w:after="80" w:before="0"/>
        <w:jc w:val="both"/>
      </w:pPr>
      <w:r>
        <w:rPr>
          <w:rFonts w:ascii="Times New Roman" w:hAnsi="Times New Roman" w:eastAsia="Times New Roman"/>
          <w:b/>
          <w:i w:val="0"/>
          <w:sz w:val="28"/>
        </w:rPr>
        <w:t>* Về công tác thanh toán đa tuyến</w:t>
      </w:r>
    </w:p>
    <w:p>
      <w:pPr>
        <w:spacing w:after="80" w:before="0"/>
        <w:ind w:firstLine="720"/>
        <w:jc w:val="both"/>
      </w:pPr>
      <w:r>
        <w:rPr>
          <w:rFonts w:ascii="Times New Roman" w:hAnsi="Times New Roman" w:eastAsia="Times New Roman"/>
          <w:b w:val="0"/>
          <w:i w:val="0"/>
          <w:sz w:val="28"/>
        </w:rPr>
        <w:t>Thực hiện đầy đủ quy trình tổng hợp, thông báo, điều chỉnh, giám định lại đối với chi phí của người bệnh đa tuyến ngoại tỉnh trên Hệ thống; hỗ trợ giải quyết vướng mắc trong thẩm định vượt trần những năm trước của BHXH các tỉnh; phân tích, cảnh báo các trường hợp khám chữa bệnh nhiều lần, khám chữa bệnh trùng lặp liên tỉnh. Kết quả:</w:t>
      </w:r>
    </w:p>
    <w:p>
      <w:pPr>
        <w:spacing w:after="80" w:before="0"/>
        <w:ind w:left="283"/>
        <w:jc w:val="both"/>
      </w:pPr>
      <w:r>
        <w:rPr>
          <w:rFonts w:ascii="Times New Roman" w:hAnsi="Times New Roman" w:eastAsia="Times New Roman"/>
          <w:b/>
          <w:i w:val="0"/>
          <w:sz w:val="28"/>
        </w:rPr>
        <w:t>- Năm 2017: thực hiện thẩm định, thông báo đa tuyến cho 10,9 triệu lượt, số tiền 22.593,27 tỷ đồng;</w:t>
      </w:r>
    </w:p>
    <w:p>
      <w:pPr>
        <w:spacing w:after="80" w:before="0"/>
        <w:ind w:left="283"/>
        <w:jc w:val="both"/>
      </w:pPr>
      <w:r>
        <w:rPr>
          <w:rFonts w:ascii="Times New Roman" w:hAnsi="Times New Roman" w:eastAsia="Times New Roman"/>
          <w:b/>
          <w:i w:val="0"/>
          <w:sz w:val="28"/>
        </w:rPr>
        <w:t>- Năm 2018: thẩm định, thông báo đa tuyến cho cho 13,3 triệu lượt KCB với số tiền 23.481,49 tỷ đồng;</w:t>
      </w:r>
    </w:p>
    <w:p>
      <w:pPr>
        <w:spacing w:after="80" w:before="0"/>
        <w:ind w:left="283"/>
        <w:jc w:val="both"/>
      </w:pPr>
      <w:r>
        <w:rPr>
          <w:rFonts w:ascii="Times New Roman" w:hAnsi="Times New Roman" w:eastAsia="Times New Roman"/>
          <w:b/>
          <w:i w:val="0"/>
          <w:sz w:val="28"/>
        </w:rPr>
        <w:t>- Năm 2019: thẩm định, thông báo đa tuyến cho 15,14 triệu lượt KCB với số tiền 26.195,28 tỷ đồng;</w:t>
      </w:r>
    </w:p>
    <w:p>
      <w:pPr>
        <w:spacing w:after="80" w:before="0"/>
        <w:ind w:left="283"/>
        <w:jc w:val="both"/>
      </w:pPr>
      <w:r>
        <w:rPr>
          <w:rFonts w:ascii="Times New Roman" w:hAnsi="Times New Roman" w:eastAsia="Times New Roman"/>
          <w:b/>
          <w:i w:val="0"/>
          <w:sz w:val="28"/>
        </w:rPr>
        <w:t>- Năm 2020: thẩm định, thông báo đa tuyến ngoại tỉnh cho 13,59 triệu lượt KCB với số tiền 25.246,97 tỷ đồng;</w:t>
      </w:r>
    </w:p>
    <w:p>
      <w:pPr>
        <w:spacing w:after="80" w:before="0"/>
        <w:ind w:left="283"/>
        <w:jc w:val="both"/>
      </w:pPr>
      <w:r>
        <w:rPr>
          <w:rFonts w:ascii="Times New Roman" w:hAnsi="Times New Roman" w:eastAsia="Times New Roman"/>
          <w:b/>
          <w:i w:val="0"/>
          <w:sz w:val="28"/>
        </w:rPr>
        <w:t>- Năm 2021: thẩm định, thông báo đa tuyến ngoại tỉnh cho 8,94 triệu lượt  KCB với số tiền là 19.770,56 tỷ đồng;</w:t>
      </w:r>
    </w:p>
    <w:p>
      <w:pPr>
        <w:spacing w:after="80" w:before="0"/>
        <w:ind w:left="283"/>
        <w:jc w:val="both"/>
      </w:pPr>
      <w:r>
        <w:rPr>
          <w:rFonts w:ascii="Times New Roman" w:hAnsi="Times New Roman" w:eastAsia="Times New Roman"/>
          <w:b/>
          <w:i w:val="0"/>
          <w:sz w:val="28"/>
        </w:rPr>
        <w:t>- Năm 2022: thực hiện thông báo thanh toán đa tuyến ngoại tỉnh cho 12,75 triệu lượt KCB với số tiền là 27.534,89 tỷ đồng</w:t>
      </w:r>
    </w:p>
    <w:p>
      <w:pPr>
        <w:spacing w:after="80" w:before="0"/>
        <w:ind w:left="283"/>
        <w:jc w:val="both"/>
      </w:pPr>
      <w:r>
        <w:rPr>
          <w:rFonts w:ascii="Times New Roman" w:hAnsi="Times New Roman" w:eastAsia="Times New Roman"/>
          <w:b/>
          <w:i w:val="0"/>
          <w:sz w:val="28"/>
        </w:rPr>
        <w:t>- Năm 2023: thực hiện thẩm định, thông báo đa tuyến ngoại tỉnh cho 15,76 triệu lượt khám bệnh, chữa bệnh với số tiền 31.766,22 tỷ đồng</w:t>
      </w:r>
    </w:p>
    <w:p>
      <w:pPr>
        <w:spacing w:after="80" w:before="0"/>
        <w:ind w:left="283"/>
        <w:jc w:val="both"/>
      </w:pPr>
      <w:r>
        <w:rPr>
          <w:rFonts w:ascii="Times New Roman" w:hAnsi="Times New Roman" w:eastAsia="Times New Roman"/>
          <w:b/>
          <w:i w:val="0"/>
          <w:sz w:val="28"/>
        </w:rPr>
        <w:t>- Năm 2024:  thông báo đa tuyến ngoại tỉnh cho 17,12 triệu lượt khám bệnh, chữa bệnh với số tiền 44.466,49 tỷ đồng.</w:t>
      </w:r>
    </w:p>
    <w:p>
      <w:pPr>
        <w:spacing w:after="80" w:before="0"/>
        <w:ind w:left="283"/>
        <w:jc w:val="both"/>
      </w:pPr>
      <w:r>
        <w:rPr>
          <w:rFonts w:ascii="Times New Roman" w:hAnsi="Times New Roman" w:eastAsia="Times New Roman"/>
          <w:b w:val="0"/>
          <w:i w:val="0"/>
          <w:sz w:val="28"/>
        </w:rPr>
        <w:t>- Năm 2025: đang tiến hành tổng hợp đa tuyến ngoại tỉnh cho 18,7 triệu lượt khám bệnh, chữa bệnh với số tiền 51.452,97 tỷ đồng.</w:t>
      </w:r>
    </w:p>
    <w:p>
      <w:pPr>
        <w:spacing w:after="40" w:before="0"/>
        <w:ind w:firstLine="720"/>
        <w:jc w:val="both"/>
      </w:pPr>
      <w:r>
        <w:rPr>
          <w:rFonts w:ascii="Times New Roman" w:hAnsi="Times New Roman" w:eastAsia="Times New Roman"/>
          <w:b/>
          <w:i w:val="0"/>
          <w:sz w:val="26"/>
          <w:highlight w:val="yellow"/>
        </w:rPr>
        <w:t>Tổng hợp kết quả thanh toán đa tuyến ngoại tỉnh (2017 – 2025):</w:t>
      </w:r>
    </w:p>
    <w:p>
      <w:pPr>
        <w:spacing w:after="40" w:before="0"/>
        <w:jc w:val="both"/>
      </w:pPr>
      <w:r>
        <w:rPr>
          <w:rFonts w:ascii="Times New Roman" w:hAnsi="Times New Roman" w:eastAsia="Times New Roman"/>
          <w:b w:val="0"/>
          <w:i/>
          <w:sz w:val="22"/>
          <w:highlight w:val="yellow"/>
        </w:rPr>
        <w:t>(Bảng tổng hợp – bổ sung mới)</w:t>
      </w:r>
    </w:p>
    <w:tbl>
      <w:tblPr>
        <w:tblStyle w:val="TableGrid"/>
        <w:tblW w:type="auto" w:w="0"/>
        <w:tblLook w:firstColumn="1" w:firstRow="1" w:lastColumn="0" w:lastRow="0" w:noHBand="0" w:noVBand="1" w:val="04A0"/>
      </w:tblPr>
      <w:tblGrid>
        <w:gridCol w:w="3024"/>
        <w:gridCol w:w="3024"/>
        <w:gridCol w:w="3024"/>
      </w:tblGrid>
      <w:tr>
        <w:tc>
          <w:tcPr>
            <w:tcW w:type="dxa" w:w="1417"/>
          </w:tcPr>
          <w:p>
            <w:pPr>
              <w:jc w:val="center"/>
            </w:pPr>
            <w:r>
              <w:rPr>
                <w:rFonts w:ascii="Times New Roman" w:hAnsi="Times New Roman" w:eastAsia="Times New Roman"/>
                <w:b/>
                <w:i w:val="0"/>
                <w:sz w:val="22"/>
                <w:highlight w:val="yellow"/>
              </w:rPr>
              <w:t>Năm</w:t>
            </w:r>
          </w:p>
        </w:tc>
        <w:tc>
          <w:tcPr>
            <w:tcW w:type="dxa" w:w="2551"/>
          </w:tcPr>
          <w:p>
            <w:pPr>
              <w:jc w:val="center"/>
            </w:pPr>
            <w:r>
              <w:rPr>
                <w:rFonts w:ascii="Times New Roman" w:hAnsi="Times New Roman" w:eastAsia="Times New Roman"/>
                <w:b/>
                <w:i w:val="0"/>
                <w:sz w:val="22"/>
                <w:highlight w:val="yellow"/>
              </w:rPr>
              <w:t>Số lượt (triệu)</w:t>
            </w:r>
          </w:p>
        </w:tc>
        <w:tc>
          <w:tcPr>
            <w:tcW w:type="dxa" w:w="3402"/>
          </w:tcPr>
          <w:p>
            <w:pPr>
              <w:jc w:val="center"/>
            </w:pPr>
            <w:r>
              <w:rPr>
                <w:rFonts w:ascii="Times New Roman" w:hAnsi="Times New Roman" w:eastAsia="Times New Roman"/>
                <w:b/>
                <w:i w:val="0"/>
                <w:sz w:val="22"/>
                <w:highlight w:val="yellow"/>
              </w:rPr>
              <w:t>Số tiền (tỷ đồng)</w:t>
            </w:r>
          </w:p>
        </w:tc>
      </w:tr>
      <w:tr>
        <w:tc>
          <w:tcPr>
            <w:tcW w:type="dxa" w:w="1417"/>
          </w:tcPr>
          <w:p>
            <w:r>
              <w:rPr>
                <w:rFonts w:ascii="Times New Roman" w:hAnsi="Times New Roman" w:eastAsia="Times New Roman"/>
                <w:b w:val="0"/>
                <w:i w:val="0"/>
                <w:sz w:val="22"/>
              </w:rPr>
              <w:t>2017</w:t>
            </w:r>
          </w:p>
        </w:tc>
        <w:tc>
          <w:tcPr>
            <w:tcW w:type="dxa" w:w="2551"/>
          </w:tcPr>
          <w:p>
            <w:pPr>
              <w:jc w:val="center"/>
            </w:pPr>
            <w:r>
              <w:rPr>
                <w:rFonts w:ascii="Times New Roman" w:hAnsi="Times New Roman" w:eastAsia="Times New Roman"/>
                <w:b w:val="0"/>
                <w:i w:val="0"/>
                <w:sz w:val="22"/>
              </w:rPr>
              <w:t>10,9</w:t>
            </w:r>
          </w:p>
        </w:tc>
        <w:tc>
          <w:tcPr>
            <w:tcW w:type="dxa" w:w="3402"/>
          </w:tcPr>
          <w:p>
            <w:pPr>
              <w:jc w:val="center"/>
            </w:pPr>
            <w:r>
              <w:rPr>
                <w:rFonts w:ascii="Times New Roman" w:hAnsi="Times New Roman" w:eastAsia="Times New Roman"/>
                <w:b w:val="0"/>
                <w:i w:val="0"/>
                <w:sz w:val="22"/>
              </w:rPr>
              <w:t>22.593,27</w:t>
            </w:r>
          </w:p>
        </w:tc>
      </w:tr>
      <w:tr>
        <w:tc>
          <w:tcPr>
            <w:tcW w:type="dxa" w:w="1417"/>
          </w:tcPr>
          <w:p>
            <w:r>
              <w:rPr>
                <w:rFonts w:ascii="Times New Roman" w:hAnsi="Times New Roman" w:eastAsia="Times New Roman"/>
                <w:b w:val="0"/>
                <w:i w:val="0"/>
                <w:sz w:val="22"/>
              </w:rPr>
              <w:t>2018</w:t>
            </w:r>
          </w:p>
        </w:tc>
        <w:tc>
          <w:tcPr>
            <w:tcW w:type="dxa" w:w="2551"/>
          </w:tcPr>
          <w:p>
            <w:pPr>
              <w:jc w:val="center"/>
            </w:pPr>
            <w:r>
              <w:rPr>
                <w:rFonts w:ascii="Times New Roman" w:hAnsi="Times New Roman" w:eastAsia="Times New Roman"/>
                <w:b w:val="0"/>
                <w:i w:val="0"/>
                <w:sz w:val="22"/>
              </w:rPr>
              <w:t>13,3</w:t>
            </w:r>
          </w:p>
        </w:tc>
        <w:tc>
          <w:tcPr>
            <w:tcW w:type="dxa" w:w="3402"/>
          </w:tcPr>
          <w:p>
            <w:pPr>
              <w:jc w:val="center"/>
            </w:pPr>
            <w:r>
              <w:rPr>
                <w:rFonts w:ascii="Times New Roman" w:hAnsi="Times New Roman" w:eastAsia="Times New Roman"/>
                <w:b w:val="0"/>
                <w:i w:val="0"/>
                <w:sz w:val="22"/>
              </w:rPr>
              <w:t>23.481,49</w:t>
            </w:r>
          </w:p>
        </w:tc>
      </w:tr>
      <w:tr>
        <w:tc>
          <w:tcPr>
            <w:tcW w:type="dxa" w:w="1417"/>
          </w:tcPr>
          <w:p>
            <w:r>
              <w:rPr>
                <w:rFonts w:ascii="Times New Roman" w:hAnsi="Times New Roman" w:eastAsia="Times New Roman"/>
                <w:b w:val="0"/>
                <w:i w:val="0"/>
                <w:sz w:val="22"/>
              </w:rPr>
              <w:t>2019</w:t>
            </w:r>
          </w:p>
        </w:tc>
        <w:tc>
          <w:tcPr>
            <w:tcW w:type="dxa" w:w="2551"/>
          </w:tcPr>
          <w:p>
            <w:pPr>
              <w:jc w:val="center"/>
            </w:pPr>
            <w:r>
              <w:rPr>
                <w:rFonts w:ascii="Times New Roman" w:hAnsi="Times New Roman" w:eastAsia="Times New Roman"/>
                <w:b w:val="0"/>
                <w:i w:val="0"/>
                <w:sz w:val="22"/>
              </w:rPr>
              <w:t>15,14</w:t>
            </w:r>
          </w:p>
        </w:tc>
        <w:tc>
          <w:tcPr>
            <w:tcW w:type="dxa" w:w="3402"/>
          </w:tcPr>
          <w:p>
            <w:pPr>
              <w:jc w:val="center"/>
            </w:pPr>
            <w:r>
              <w:rPr>
                <w:rFonts w:ascii="Times New Roman" w:hAnsi="Times New Roman" w:eastAsia="Times New Roman"/>
                <w:b w:val="0"/>
                <w:i w:val="0"/>
                <w:sz w:val="22"/>
              </w:rPr>
              <w:t>26.195,28</w:t>
            </w:r>
          </w:p>
        </w:tc>
      </w:tr>
      <w:tr>
        <w:tc>
          <w:tcPr>
            <w:tcW w:type="dxa" w:w="1417"/>
          </w:tcPr>
          <w:p>
            <w:r>
              <w:rPr>
                <w:rFonts w:ascii="Times New Roman" w:hAnsi="Times New Roman" w:eastAsia="Times New Roman"/>
                <w:b w:val="0"/>
                <w:i w:val="0"/>
                <w:sz w:val="22"/>
              </w:rPr>
              <w:t>2020</w:t>
            </w:r>
          </w:p>
        </w:tc>
        <w:tc>
          <w:tcPr>
            <w:tcW w:type="dxa" w:w="2551"/>
          </w:tcPr>
          <w:p>
            <w:pPr>
              <w:jc w:val="center"/>
            </w:pPr>
            <w:r>
              <w:rPr>
                <w:rFonts w:ascii="Times New Roman" w:hAnsi="Times New Roman" w:eastAsia="Times New Roman"/>
                <w:b w:val="0"/>
                <w:i w:val="0"/>
                <w:sz w:val="22"/>
              </w:rPr>
              <w:t>13,59</w:t>
            </w:r>
          </w:p>
        </w:tc>
        <w:tc>
          <w:tcPr>
            <w:tcW w:type="dxa" w:w="3402"/>
          </w:tcPr>
          <w:p>
            <w:pPr>
              <w:jc w:val="center"/>
            </w:pPr>
            <w:r>
              <w:rPr>
                <w:rFonts w:ascii="Times New Roman" w:hAnsi="Times New Roman" w:eastAsia="Times New Roman"/>
                <w:b w:val="0"/>
                <w:i w:val="0"/>
                <w:sz w:val="22"/>
              </w:rPr>
              <w:t>25.246,97</w:t>
            </w:r>
          </w:p>
        </w:tc>
      </w:tr>
      <w:tr>
        <w:tc>
          <w:tcPr>
            <w:tcW w:type="dxa" w:w="1417"/>
          </w:tcPr>
          <w:p>
            <w:r>
              <w:rPr>
                <w:rFonts w:ascii="Times New Roman" w:hAnsi="Times New Roman" w:eastAsia="Times New Roman"/>
                <w:b w:val="0"/>
                <w:i w:val="0"/>
                <w:sz w:val="22"/>
              </w:rPr>
              <w:t>2021</w:t>
            </w:r>
          </w:p>
        </w:tc>
        <w:tc>
          <w:tcPr>
            <w:tcW w:type="dxa" w:w="2551"/>
          </w:tcPr>
          <w:p>
            <w:pPr>
              <w:jc w:val="center"/>
            </w:pPr>
            <w:r>
              <w:rPr>
                <w:rFonts w:ascii="Times New Roman" w:hAnsi="Times New Roman" w:eastAsia="Times New Roman"/>
                <w:b w:val="0"/>
                <w:i w:val="0"/>
                <w:sz w:val="22"/>
              </w:rPr>
              <w:t>8,94</w:t>
            </w:r>
          </w:p>
        </w:tc>
        <w:tc>
          <w:tcPr>
            <w:tcW w:type="dxa" w:w="3402"/>
          </w:tcPr>
          <w:p>
            <w:pPr>
              <w:jc w:val="center"/>
            </w:pPr>
            <w:r>
              <w:rPr>
                <w:rFonts w:ascii="Times New Roman" w:hAnsi="Times New Roman" w:eastAsia="Times New Roman"/>
                <w:b w:val="0"/>
                <w:i w:val="0"/>
                <w:sz w:val="22"/>
              </w:rPr>
              <w:t>19.770,56</w:t>
            </w:r>
          </w:p>
        </w:tc>
      </w:tr>
      <w:tr>
        <w:tc>
          <w:tcPr>
            <w:tcW w:type="dxa" w:w="1417"/>
          </w:tcPr>
          <w:p>
            <w:r>
              <w:rPr>
                <w:rFonts w:ascii="Times New Roman" w:hAnsi="Times New Roman" w:eastAsia="Times New Roman"/>
                <w:b w:val="0"/>
                <w:i w:val="0"/>
                <w:sz w:val="22"/>
              </w:rPr>
              <w:t>2022</w:t>
            </w:r>
          </w:p>
        </w:tc>
        <w:tc>
          <w:tcPr>
            <w:tcW w:type="dxa" w:w="2551"/>
          </w:tcPr>
          <w:p>
            <w:pPr>
              <w:jc w:val="center"/>
            </w:pPr>
            <w:r>
              <w:rPr>
                <w:rFonts w:ascii="Times New Roman" w:hAnsi="Times New Roman" w:eastAsia="Times New Roman"/>
                <w:b w:val="0"/>
                <w:i w:val="0"/>
                <w:sz w:val="22"/>
              </w:rPr>
              <w:t>12,75</w:t>
            </w:r>
          </w:p>
        </w:tc>
        <w:tc>
          <w:tcPr>
            <w:tcW w:type="dxa" w:w="3402"/>
          </w:tcPr>
          <w:p>
            <w:pPr>
              <w:jc w:val="center"/>
            </w:pPr>
            <w:r>
              <w:rPr>
                <w:rFonts w:ascii="Times New Roman" w:hAnsi="Times New Roman" w:eastAsia="Times New Roman"/>
                <w:b w:val="0"/>
                <w:i w:val="0"/>
                <w:sz w:val="22"/>
              </w:rPr>
              <w:t>27.534,89</w:t>
            </w:r>
          </w:p>
        </w:tc>
      </w:tr>
      <w:tr>
        <w:tc>
          <w:tcPr>
            <w:tcW w:type="dxa" w:w="1417"/>
          </w:tcPr>
          <w:p>
            <w:r>
              <w:rPr>
                <w:rFonts w:ascii="Times New Roman" w:hAnsi="Times New Roman" w:eastAsia="Times New Roman"/>
                <w:b w:val="0"/>
                <w:i w:val="0"/>
                <w:sz w:val="22"/>
              </w:rPr>
              <w:t>2023</w:t>
            </w:r>
          </w:p>
        </w:tc>
        <w:tc>
          <w:tcPr>
            <w:tcW w:type="dxa" w:w="2551"/>
          </w:tcPr>
          <w:p>
            <w:pPr>
              <w:jc w:val="center"/>
            </w:pPr>
            <w:r>
              <w:rPr>
                <w:rFonts w:ascii="Times New Roman" w:hAnsi="Times New Roman" w:eastAsia="Times New Roman"/>
                <w:b w:val="0"/>
                <w:i w:val="0"/>
                <w:sz w:val="22"/>
              </w:rPr>
              <w:t>15,76</w:t>
            </w:r>
          </w:p>
        </w:tc>
        <w:tc>
          <w:tcPr>
            <w:tcW w:type="dxa" w:w="3402"/>
          </w:tcPr>
          <w:p>
            <w:pPr>
              <w:jc w:val="center"/>
            </w:pPr>
            <w:r>
              <w:rPr>
                <w:rFonts w:ascii="Times New Roman" w:hAnsi="Times New Roman" w:eastAsia="Times New Roman"/>
                <w:b w:val="0"/>
                <w:i w:val="0"/>
                <w:sz w:val="22"/>
              </w:rPr>
              <w:t>31.766,22</w:t>
            </w:r>
          </w:p>
        </w:tc>
      </w:tr>
      <w:tr>
        <w:tc>
          <w:tcPr>
            <w:tcW w:type="dxa" w:w="1417"/>
          </w:tcPr>
          <w:p>
            <w:r>
              <w:rPr>
                <w:rFonts w:ascii="Times New Roman" w:hAnsi="Times New Roman" w:eastAsia="Times New Roman"/>
                <w:b w:val="0"/>
                <w:i w:val="0"/>
                <w:sz w:val="22"/>
              </w:rPr>
              <w:t>2024</w:t>
            </w:r>
          </w:p>
        </w:tc>
        <w:tc>
          <w:tcPr>
            <w:tcW w:type="dxa" w:w="2551"/>
          </w:tcPr>
          <w:p>
            <w:pPr>
              <w:jc w:val="center"/>
            </w:pPr>
            <w:r>
              <w:rPr>
                <w:rFonts w:ascii="Times New Roman" w:hAnsi="Times New Roman" w:eastAsia="Times New Roman"/>
                <w:b w:val="0"/>
                <w:i w:val="0"/>
                <w:sz w:val="22"/>
              </w:rPr>
              <w:t>17,12</w:t>
            </w:r>
          </w:p>
        </w:tc>
        <w:tc>
          <w:tcPr>
            <w:tcW w:type="dxa" w:w="3402"/>
          </w:tcPr>
          <w:p>
            <w:pPr>
              <w:jc w:val="center"/>
            </w:pPr>
            <w:r>
              <w:rPr>
                <w:rFonts w:ascii="Times New Roman" w:hAnsi="Times New Roman" w:eastAsia="Times New Roman"/>
                <w:b w:val="0"/>
                <w:i w:val="0"/>
                <w:sz w:val="22"/>
              </w:rPr>
              <w:t>44.466,49</w:t>
            </w:r>
          </w:p>
        </w:tc>
      </w:tr>
      <w:tr>
        <w:tc>
          <w:tcPr>
            <w:tcW w:type="dxa" w:w="1417"/>
          </w:tcPr>
          <w:p>
            <w:r>
              <w:rPr>
                <w:rFonts w:ascii="Times New Roman" w:hAnsi="Times New Roman" w:eastAsia="Times New Roman"/>
                <w:b w:val="0"/>
                <w:i w:val="0"/>
                <w:sz w:val="22"/>
              </w:rPr>
              <w:t>2025</w:t>
            </w:r>
          </w:p>
        </w:tc>
        <w:tc>
          <w:tcPr>
            <w:tcW w:type="dxa" w:w="2551"/>
          </w:tcPr>
          <w:p>
            <w:pPr>
              <w:jc w:val="center"/>
            </w:pPr>
            <w:r>
              <w:rPr>
                <w:rFonts w:ascii="Times New Roman" w:hAnsi="Times New Roman" w:eastAsia="Times New Roman"/>
                <w:b w:val="0"/>
                <w:i w:val="0"/>
                <w:sz w:val="22"/>
              </w:rPr>
              <w:t>18,7</w:t>
            </w:r>
          </w:p>
        </w:tc>
        <w:tc>
          <w:tcPr>
            <w:tcW w:type="dxa" w:w="3402"/>
          </w:tcPr>
          <w:p>
            <w:pPr>
              <w:jc w:val="center"/>
            </w:pPr>
            <w:r>
              <w:rPr>
                <w:rFonts w:ascii="Times New Roman" w:hAnsi="Times New Roman" w:eastAsia="Times New Roman"/>
                <w:b w:val="0"/>
                <w:i w:val="0"/>
                <w:sz w:val="22"/>
              </w:rPr>
              <w:t>51.452,97</w:t>
            </w:r>
          </w:p>
        </w:tc>
      </w:tr>
      <w:tr>
        <w:tc>
          <w:tcPr>
            <w:tcW w:type="dxa" w:w="1417"/>
          </w:tcPr>
          <w:p>
            <w:r>
              <w:rPr>
                <w:rFonts w:ascii="Times New Roman" w:hAnsi="Times New Roman" w:eastAsia="Times New Roman"/>
                <w:b/>
                <w:i w:val="0"/>
                <w:sz w:val="22"/>
                <w:highlight w:val="yellow"/>
              </w:rPr>
              <w:t>Tổng cộng</w:t>
            </w:r>
          </w:p>
        </w:tc>
        <w:tc>
          <w:tcPr>
            <w:tcW w:type="dxa" w:w="2551"/>
          </w:tcPr>
          <w:p>
            <w:pPr>
              <w:jc w:val="center"/>
            </w:pPr>
            <w:r>
              <w:rPr>
                <w:rFonts w:ascii="Times New Roman" w:hAnsi="Times New Roman" w:eastAsia="Times New Roman"/>
                <w:b/>
                <w:i w:val="0"/>
                <w:sz w:val="22"/>
                <w:highlight w:val="yellow"/>
              </w:rPr>
              <w:t>127,44 triệu lượt</w:t>
            </w:r>
          </w:p>
        </w:tc>
        <w:tc>
          <w:tcPr>
            <w:tcW w:type="dxa" w:w="3402"/>
          </w:tcPr>
          <w:p>
            <w:pPr>
              <w:jc w:val="center"/>
            </w:pPr>
            <w:r>
              <w:rPr>
                <w:rFonts w:ascii="Times New Roman" w:hAnsi="Times New Roman" w:eastAsia="Times New Roman"/>
                <w:b/>
                <w:i w:val="0"/>
                <w:sz w:val="22"/>
                <w:highlight w:val="yellow"/>
              </w:rPr>
              <w:t>272.508 tỷ đồng</w:t>
            </w:r>
          </w:p>
        </w:tc>
      </w:tr>
    </w:tbl>
    <w:p>
      <w:pPr>
        <w:spacing w:after="40" w:before="0"/>
        <w:jc w:val="both"/>
      </w:pPr>
      <w:r>
        <w:rPr>
          <w:rFonts w:ascii="Times New Roman" w:hAnsi="Times New Roman" w:eastAsia="Times New Roman"/>
          <w:b w:val="0"/>
          <w:i w:val="0"/>
          <w:sz w:val="26"/>
        </w:rPr>
      </w:r>
    </w:p>
    <w:p>
      <w:pPr>
        <w:spacing w:after="80" w:before="0"/>
        <w:ind w:firstLine="720"/>
        <w:jc w:val="both"/>
      </w:pPr>
      <w:r>
        <w:rPr>
          <w:rFonts w:ascii="Times New Roman" w:hAnsi="Times New Roman" w:eastAsia="Times New Roman"/>
          <w:b w:val="0"/>
          <w:i w:val="0"/>
          <w:sz w:val="26"/>
          <w:highlight w:val="yellow"/>
        </w:rPr>
        <w:t>Lũy kế 09 năm (2017–2025), Trung tâm đã tổng hợp, thông báo thanh toán đa tuyến ngoại tỉnh cho tổng cộng hơn 127 triệu lượt khám chữa bệnh với tổng số tiền hơn 272.500 tỷ đồng, đảm bảo quyền lợi khám chữa bệnh kịp thời cho người tham gia BHYT trên toàn quốc.</w:t>
      </w:r>
    </w:p>
    <w:p>
      <w:pPr>
        <w:spacing w:after="80" w:before="0"/>
        <w:jc w:val="both"/>
      </w:pPr>
      <w:r>
        <w:rPr>
          <w:rFonts w:ascii="Times New Roman" w:hAnsi="Times New Roman" w:eastAsia="Times New Roman"/>
          <w:b/>
          <w:i w:val="0"/>
          <w:sz w:val="28"/>
        </w:rPr>
        <w:t xml:space="preserve">* Về hướng dẫn, chỉ đạo BHXH các tỉnh thành phố thực hiện nhiệm vụ chuyên môn, nâng cao chất lượng, hiệu quả công tác giám định, ngăn ngừa lạm dụng, trục lợi BHYT </w:t>
      </w:r>
    </w:p>
    <w:p>
      <w:pPr>
        <w:spacing w:after="80" w:before="0"/>
        <w:ind w:firstLine="720"/>
        <w:jc w:val="both"/>
      </w:pPr>
      <w:r>
        <w:rPr>
          <w:rFonts w:ascii="Times New Roman" w:hAnsi="Times New Roman" w:eastAsia="Times New Roman"/>
          <w:b w:val="0"/>
          <w:i w:val="0"/>
          <w:color w:val="C00000"/>
          <w:sz w:val="28"/>
        </w:rPr>
        <w:t>Chủ động tham mưu cho Thủ trưởng đơn vị, Lãnh đạo BHXH Việt Nam ban hành các văn bản hướng dẫn liên thông dữ liệu, chuẩn hoá danh mục, quản lý, khai thác thông tin trên Hệ thống; chỉ đạo BHXH các tỉnh, thành phố thực hiện đầy đủ quy trình giám định điện tử, quy định về liên thông các phần mềm nghiệp vụ để quản lý công tác chi khám chữa bệnh BHYT và thực hiện quyết toán trên Hệ thống; thẩm định quyết toán tập trung từ năm 2020, đảm bảo sự thống nhất về thời điểm, số liệu, tiến độ quyết toán; tham mưu phối hợp với các đơn vị xây dựng các văn bản hướng dẫn, chủ động chỉ đạo phân tích dữ liệu, hỗ trợ BHXH các tỉnh, thành phố xác định tổng mức thanh toán, lập báo cáo thẩm định trên phần mềm.</w:t>
      </w:r>
    </w:p>
    <w:p>
      <w:pPr>
        <w:spacing w:after="80" w:before="0"/>
        <w:jc w:val="both"/>
      </w:pPr>
      <w:r>
        <w:rPr>
          <w:rFonts w:ascii="Times New Roman" w:hAnsi="Times New Roman" w:eastAsia="Times New Roman"/>
          <w:b/>
          <w:i w:val="0"/>
          <w:sz w:val="28"/>
        </w:rPr>
        <w:t>* Về công tác hợp tác quốc tế</w:t>
      </w:r>
    </w:p>
    <w:p>
      <w:pPr>
        <w:spacing w:after="80" w:before="0"/>
        <w:ind w:firstLine="720"/>
        <w:jc w:val="both"/>
      </w:pPr>
      <w:r>
        <w:rPr>
          <w:rFonts w:ascii="Times New Roman" w:hAnsi="Times New Roman" w:eastAsia="Times New Roman"/>
          <w:b w:val="0"/>
          <w:i w:val="0"/>
          <w:sz w:val="28"/>
        </w:rPr>
        <w:t>Trong quá trình công tác, tôi cũng thường xuyên được tham gia các hoạt động hợp tác với các tổ chức quốc tế WHO, World Bank,  HIRA, USAID, ILO, JICA (NTTData); tham gia thuyết trình về ứng dụng công nghệ, kỹ thuật mới, chuyển đổi số trong quản lý, giám định, thanh toán chi phí KCB BHYT tại Việt Nam.</w:t>
      </w:r>
    </w:p>
    <w:p>
      <w:pPr>
        <w:spacing w:after="80" w:before="0"/>
        <w:ind w:firstLine="720"/>
        <w:jc w:val="both"/>
      </w:pPr>
      <w:r>
        <w:rPr>
          <w:rFonts w:ascii="Times New Roman" w:hAnsi="Times New Roman" w:eastAsia="Times New Roman"/>
          <w:b w:val="0"/>
          <w:i w:val="0"/>
          <w:sz w:val="26"/>
          <w:highlight w:val="yellow"/>
        </w:rPr>
        <w:t>Hệ thống thông tin giám định BHYT — công trình mà tôi tham gia xây dựng và phát triển từ những ngày đầu — đã được Hiệp hội An sinh xã hội quốc tế (ISSA) và Hiệp hội An sinh xã hội châu Á – Thái Bình Dương (ASSA) trao tặng giải thưởng về ứng dụng công nghệ thông tin xuất sắc trong quản lý an sinh xã hội. Đây là sự ghi nhận của cộng đồng quốc tế đối với những thành tựu tiêu biểu mà Việt Nam đã đạt được trong lĩnh vực chuyển đổi số và ứng dụng CNTT nâng cao hiệu quả giám định, thanh toán BHYT.</w:t>
      </w:r>
    </w:p>
    <w:p>
      <w:pPr>
        <w:spacing w:after="80" w:before="0"/>
        <w:jc w:val="both"/>
      </w:pPr>
      <w:r>
        <w:rPr>
          <w:rFonts w:ascii="Times New Roman" w:hAnsi="Times New Roman" w:eastAsia="Times New Roman"/>
          <w:b/>
          <w:i w:val="0"/>
          <w:sz w:val="28"/>
        </w:rPr>
        <w:t xml:space="preserve">* Về công tác phối hợp với các đơn vị liên quan </w:t>
      </w:r>
    </w:p>
    <w:p>
      <w:pPr>
        <w:spacing w:after="80" w:before="0"/>
        <w:ind w:firstLine="720"/>
        <w:jc w:val="both"/>
      </w:pPr>
      <w:r>
        <w:rPr>
          <w:rFonts w:ascii="Times New Roman" w:hAnsi="Times New Roman" w:eastAsia="Times New Roman"/>
          <w:b w:val="0"/>
          <w:i w:val="0"/>
          <w:sz w:val="28"/>
        </w:rPr>
        <w:t>Theo sự phân công của Thủ trưởng đơn vị tôi đã thường xuyên phối hợp với một số Vụ, Cục trực thuộc Bộ Y tế, một số Bộ, Ngành khác và các đơn vị trực thuộc BHXH Việt Nam để kiến nghị, đề xuất giải quyết những vướng mắc trong quá trình tổ chức thực hiện các quy định của pháp luật; phối hợp chặt chẽ với BHXH tỉnh, thành phố để tổ chức thực hiện những quy định liên quan đến công tác ứng dụng công nghệ thông tin trong khám chữa bệnh, giám định và thanh toán BHYT, thường xuyên nắm bắt những khó khăn vướng mắc để đề xuất với lãnh đạo BHXH Việt Nam có các giải pháp, hướng dẫn kịp thời.</w:t>
      </w:r>
    </w:p>
    <w:p>
      <w:pPr>
        <w:spacing w:after="80" w:before="0"/>
        <w:jc w:val="both"/>
      </w:pPr>
      <w:r>
        <w:rPr>
          <w:rFonts w:ascii="Times New Roman" w:hAnsi="Times New Roman" w:eastAsia="Times New Roman"/>
          <w:b/>
          <w:i w:val="0"/>
          <w:sz w:val="28"/>
        </w:rPr>
        <w:t>* Về công tác đào tạo, nghiên cứu khoa học, chuyển đổi số</w:t>
      </w:r>
    </w:p>
    <w:p>
      <w:pPr>
        <w:spacing w:after="80" w:before="0"/>
        <w:ind w:left="283"/>
        <w:jc w:val="both"/>
      </w:pPr>
      <w:r>
        <w:rPr>
          <w:rFonts w:ascii="Times New Roman" w:hAnsi="Times New Roman" w:eastAsia="Times New Roman"/>
          <w:b w:val="0"/>
          <w:i w:val="0"/>
          <w:sz w:val="28"/>
        </w:rPr>
        <w:t>- Đào tạo: hằng năm tôi đều tham mưu cho Thủ trưởng đơn vị xây dựng chương trình bồi dưỡng, tập huấn về phân tích dữ liệu chi KCB BHYT cho các giám định viên trên toàn quốc theo chương trình của Ngành, đơn vị hoặc đột xuất theo yêu cẩu của BHXH các tỉnh, thành phố. Tham gia xây dựng tài liệu và truyền đạt tại các cuộc tập huấn trực tiếp và trực tuyến; giải đáp, hướng dẫn xử lý những khó khăn, vướng mắc thuộc lĩnh vực được phân công phụ trách.</w:t>
      </w:r>
    </w:p>
    <w:p>
      <w:pPr>
        <w:spacing w:after="80" w:before="0"/>
        <w:ind w:left="283"/>
        <w:jc w:val="both"/>
      </w:pPr>
      <w:r>
        <w:rPr>
          <w:rFonts w:ascii="Times New Roman" w:hAnsi="Times New Roman" w:eastAsia="Times New Roman"/>
          <w:b w:val="0"/>
          <w:i w:val="0"/>
          <w:sz w:val="28"/>
        </w:rPr>
        <w:t>- Nghiên cứu khoa học: Thực thiện nhiệm vụ khoa học và công nghệ cấp cơ sở“Nghiên cứu giải pháp ứng dụng công nghệ nhận dạng kí tự quang học trong công tác giám định bảo hiểm y tế” được công nhận theo Quyết định số 12/QĐ-BHXH ngày 08/01/2025 của Tổng Giám đốc BHXH Việt Nam; Năm 2022: phối hợp thực hiện nhiệm vụ khoa học và công nghệ cấp Bộ“Hoàn thiện quy trình giám định bảo hiểm y tế” được công nhận theo Quyết định số  1104/QĐ-BHXH ngày 22/4/2022 của Tổng Giám đốc BHXH Việt Nam; nghiên cứu khóa học các bệnh không nhất thiết điều trị nội trú tại Việt Nam; phân tích khám chữa bệnh thông tuyến theo Luật BHYT năm 2014 làm cơ sở để xây dựng, điều chỉnh chính sách theo Luật BHYT năm 2024. Tham gia 06 Hội đồng thẩm định Sáng kiến cấp cơ sở của Ngành trong năm 2023 và 2024.</w:t>
      </w:r>
    </w:p>
    <w:p>
      <w:pPr>
        <w:spacing w:after="80" w:before="0"/>
        <w:ind w:left="283"/>
        <w:jc w:val="both"/>
      </w:pPr>
      <w:r>
        <w:rPr>
          <w:rFonts w:ascii="Times New Roman" w:hAnsi="Times New Roman" w:eastAsia="Times New Roman"/>
          <w:b/>
          <w:i w:val="0"/>
          <w:sz w:val="28"/>
        </w:rPr>
        <w:t xml:space="preserve">- Chuyển đổi số: </w:t>
      </w:r>
    </w:p>
    <w:p>
      <w:pPr>
        <w:spacing w:after="80" w:before="0"/>
        <w:ind w:left="283"/>
        <w:jc w:val="both"/>
      </w:pPr>
      <w:r>
        <w:rPr>
          <w:rFonts w:ascii="Times New Roman" w:hAnsi="Times New Roman" w:eastAsia="Times New Roman"/>
          <w:b w:val="0"/>
          <w:i w:val="0"/>
          <w:sz w:val="28"/>
        </w:rPr>
        <w:t>+ Ngay từ khi triển khai Luật BHYT số 25/2008/QH12 năm 2010, Bản thân tôi đã nỗ lực trong việc ứng dụng công nghệ thông tin trong việc thống kê, giám định chi phí KCB BHYT thông qua việc xây dựng, triển khai phần mềm tổng hợp, thống kê chi phí KCB BHYT tại Bảo hiểm xã hội thành phố Hà Nội và các cơ sở KCB trên địa bàn. Sau khi triển khai thành công tại thành phố Hà Nội, phần mềm đã được Tổng Giám đốc Bảo hiểm xã hội Việt Nam ban hành và đưa vào ứng dụng trên toàn quốc theo Quyết định số 787/QĐ-BHXH ngày 21/5/2010. Khi triển khai ứng dụng phần mềm đã giảm được rất nhiều thời gian, nhân lực trong việc thông kê chi phí đề nghị thanh toán BHYT tại cơ sở KCB (theo thống kê của BHXH năm 2016 có tới gần 1400 cơ sở y tế chủ yếu là tuyến xã, tuyến huyện sử dụng phần mềm), và phục vụ công tác thực hiện nghiệp vụ giám định, thống kê các chi phí bất thường và lập các biểu quyết toán chi KCB BHYT tại cơ quan BHXH cấp địa phương.</w:t>
      </w:r>
    </w:p>
    <w:p>
      <w:pPr>
        <w:spacing w:after="80" w:before="0"/>
        <w:ind w:left="283"/>
        <w:jc w:val="both"/>
      </w:pPr>
      <w:r>
        <w:rPr>
          <w:rFonts w:ascii="Times New Roman" w:hAnsi="Times New Roman" w:eastAsia="Times New Roman"/>
          <w:b w:val="0"/>
          <w:i w:val="0"/>
          <w:sz w:val="28"/>
        </w:rPr>
        <w:t>+ Đến năm 2016, bản thân tôi cũng tích cực tham gia xây dựng các danh mục dùng chung, xây dựng các chuẩn dữ liệu đầu ra tại các cơ sở KCB, phân tích nghiệp vụ để xây dựng Hệ thống. Khi triển khai, vận hành Hệ thống từ đầu năm 2017 là một bước đột phá trong việc liên thông, quản lý, giám định thanh toán chi phí KCB tại BHXH Việt Nam nói riêng và ngành Y tế nói chung. Đến nay, dữ liệu của Hệ thống đã được tích hợp, kết nối với cơ sở dữ liệu dân cư để triển khai chuyển đổi số quốc gia và tích hợp sổ sức khỏe điện tử theo Đề án 06 của Chính phủ.</w:t>
      </w:r>
    </w:p>
    <w:p>
      <w:pPr>
        <w:spacing w:after="80" w:before="0"/>
        <w:ind w:firstLine="720"/>
        <w:jc w:val="both"/>
      </w:pPr>
      <w:r>
        <w:rPr>
          <w:rFonts w:ascii="Times New Roman" w:hAnsi="Times New Roman" w:eastAsia="Times New Roman"/>
          <w:b w:val="0"/>
          <w:i w:val="0"/>
          <w:sz w:val="28"/>
        </w:rPr>
        <w:t xml:space="preserve"> Với những lợi ích thiết thực đem lại, Hệ thống đã được lãnh đạo Đảng, Chính phủ và nhiều đoàn công tác tham quan, đánh giá cao, góp phần nâng cao vị thế của Ngành về ứng dụng công nghệ thông tin, cải cách thủ tục hành chính, chuyển đổi số, được nhận giải thưởng từ các tổ chức quốc tế ISSA, ASSA.</w:t>
      </w:r>
    </w:p>
    <w:p>
      <w:pPr>
        <w:spacing w:after="80" w:before="0"/>
        <w:ind w:firstLine="720"/>
        <w:jc w:val="both"/>
      </w:pPr>
      <w:r>
        <w:rPr>
          <w:rFonts w:ascii="Times New Roman" w:hAnsi="Times New Roman" w:eastAsia="Times New Roman"/>
          <w:b w:val="0"/>
          <w:i w:val="0"/>
          <w:sz w:val="28"/>
        </w:rPr>
        <w:t>Không dừng lại ở việc xây dựng các chức năng giám định điện tử kết hợp với chủ động, đến nay Trung tâm đang tiếp tục nghiên cứu và thử nghiệm ứng dụng trí tuệ nhân tạo (AI) trong giám định điện tử và nghiên cứu ứng dụng nhận dạng ký tự quang học kết hợp AI (AI-OCR) trong việc đối soát tự động các danh mục, danh sách (bản file điện tử scan) với dữ liệu trên Hệ thống, khi hoàn thành và triển khai thành công các nghiên cứu trên sẽ đem lại hiệu quả vượt bậc trong kiểm soát chi phí KCB BHYT.</w:t>
      </w:r>
    </w:p>
    <w:p>
      <w:pPr>
        <w:spacing w:after="80" w:before="0"/>
        <w:ind w:firstLine="720"/>
        <w:jc w:val="both"/>
      </w:pPr>
      <w:r>
        <w:rPr>
          <w:rFonts w:ascii="Times New Roman" w:hAnsi="Times New Roman" w:eastAsia="Times New Roman"/>
          <w:b w:val="0"/>
          <w:i w:val="0"/>
          <w:sz w:val="26"/>
          <w:highlight w:val="yellow"/>
        </w:rPr>
        <w:t>Định hướng phát triển tiếp theo mà tôi đang tập trung tham mưu gồm: ứng dụng trí tuệ nhân tạo (AI) phân tích dự báo nhu cầu khám chữa bệnh; hoàn thiện hệ thống AI-OCR để tự động hóa đối soát danh mục thuốc, dịch vụ kỹ thuật y tế; xây dựng nền tảng dữ liệu tích hợp phục vụ quản lý quỹ BHYT thông minh và phát hiện gian lận tự động, đáp ứng yêu cầu của Luật BHYT số 51/2024/QH15 và Nghị định số 188/2025/NĐ-CP.</w:t>
      </w:r>
    </w:p>
    <w:p>
      <w:pPr>
        <w:spacing w:after="80" w:before="0"/>
        <w:ind w:firstLine="720"/>
        <w:jc w:val="both"/>
      </w:pPr>
      <w:r>
        <w:rPr>
          <w:rFonts w:ascii="Times New Roman" w:hAnsi="Times New Roman" w:eastAsia="Times New Roman"/>
          <w:b/>
          <w:i w:val="0"/>
          <w:sz w:val="28"/>
        </w:rPr>
        <w:t>c) Sáng kiến, đề tài nghiên cứu khoa học được áp dụng vào thực tiễn đạt hiệu quả cụ thể</w:t>
      </w:r>
    </w:p>
    <w:p>
      <w:pPr>
        <w:spacing w:after="80" w:before="0"/>
        <w:ind w:left="283"/>
        <w:jc w:val="both"/>
      </w:pPr>
      <w:r>
        <w:rPr>
          <w:rFonts w:ascii="Times New Roman" w:hAnsi="Times New Roman" w:eastAsia="Times New Roman"/>
          <w:b/>
          <w:i w:val="0"/>
          <w:sz w:val="28"/>
        </w:rPr>
        <w:t>- Năm 2018: Sáng kiến cấp Ngành “Liên thông quản lý chi khám chữa bệnh BHYT trên các phần mềm nghiệp vụ” được công nhận tại Quyết định số 233/QĐ-BHXH ngày 26/02/2019 của Tổng Giám đốc Bảo hiểm xã hội Việt Nam</w:t>
      </w:r>
    </w:p>
    <w:p>
      <w:pPr>
        <w:spacing w:after="80" w:before="0"/>
        <w:ind w:left="283"/>
        <w:jc w:val="both"/>
      </w:pPr>
      <w:r>
        <w:rPr>
          <w:rFonts w:ascii="Times New Roman" w:hAnsi="Times New Roman" w:eastAsia="Times New Roman"/>
          <w:b w:val="0"/>
          <w:i w:val="0"/>
          <w:sz w:val="28"/>
        </w:rPr>
        <w:t>+ Nội dung: các quy trình nghiệp vụ có liên quan đến quản lý khám chữa bệnh BHYT (quy định về quản lý chi khám chữa bệnh và quy trình giám định ban hành theo các Quyết định số 1399/QĐ-BHXH và số 1456/QĐ-BHXH; quy trình nghiệp vụ thu, sổ thẻ ban hành theo Quyết định số 595/QĐ-BHXH và các văn bản liên quan). Xây dựng, rình Tổng Giám đốc ban hành quy định về liên thông các phần mềm trong quản lý chi khám chữa bệnh BHYT.</w:t>
      </w:r>
    </w:p>
    <w:p>
      <w:pPr>
        <w:spacing w:after="80" w:before="0"/>
        <w:ind w:left="283"/>
        <w:jc w:val="both"/>
      </w:pPr>
      <w:r>
        <w:rPr>
          <w:rFonts w:ascii="Times New Roman" w:hAnsi="Times New Roman" w:eastAsia="Times New Roman"/>
          <w:b w:val="0"/>
          <w:i w:val="0"/>
          <w:sz w:val="28"/>
        </w:rPr>
        <w:t>+ Phạm vi áp dụng: sáng kiến được áp dụng trong toàn Ngành tại các đơn vị trực thuộc BHXH Việt Nam và BHXH cấp tỉnh, BHXH cấp huyện.</w:t>
      </w:r>
    </w:p>
    <w:p>
      <w:pPr>
        <w:spacing w:after="80" w:before="0"/>
        <w:ind w:left="283"/>
        <w:jc w:val="both"/>
      </w:pPr>
      <w:r>
        <w:rPr>
          <w:rFonts w:ascii="Times New Roman" w:hAnsi="Times New Roman" w:eastAsia="Times New Roman"/>
          <w:b w:val="0"/>
          <w:i w:val="0"/>
          <w:sz w:val="28"/>
        </w:rPr>
        <w:t>+ Hiệu quả: nâng cao hiệu lực, hiệu quả trong công tác quản lý tài chính của BHXH Việt Nam và toàn Hệ thống.</w:t>
      </w:r>
    </w:p>
    <w:p>
      <w:pPr>
        <w:spacing w:after="80" w:before="0"/>
        <w:ind w:firstLine="720"/>
        <w:jc w:val="both"/>
      </w:pPr>
      <w:r>
        <w:rPr>
          <w:rFonts w:ascii="Times New Roman" w:hAnsi="Times New Roman" w:eastAsia="Times New Roman"/>
          <w:b/>
          <w:i w:val="0"/>
          <w:sz w:val="28"/>
        </w:rPr>
        <w:t>Năm 2020: Sáng kiến cấp cơ sở “Xây dựng bản đồ theo dõi người mắc các bệnh nền phục vụ công tác giám sát hỗ trợ phòng chống dịch bệnh Covid-19”được công nhận tại Quyết định số 29/QĐ-GĐĐT ngày 29/12/2020 của Giám đốc Trung tâm Giám định bảo hiểm y tế và Thanh toán đa tuyến.</w:t>
      </w:r>
    </w:p>
    <w:p>
      <w:pPr>
        <w:spacing w:after="80" w:before="0"/>
        <w:ind w:left="283"/>
        <w:jc w:val="both"/>
      </w:pPr>
      <w:r>
        <w:rPr>
          <w:rFonts w:ascii="Times New Roman" w:hAnsi="Times New Roman" w:eastAsia="Times New Roman"/>
          <w:b w:val="0"/>
          <w:i w:val="0"/>
          <w:sz w:val="28"/>
        </w:rPr>
        <w:t>- Nội dung: Căn cứ dữ liệu cơ sở khám chữa bệnh gửi lên Cổng Tiếp nhận, nhóm tác giả đã thực hiện tổng hợp dữ liệu theo ngày gửi dữ liệu và ngày ra viện của bệnh nhân; thực hiện phân tích tình hình khám chữa bệnh bảo hiểm y tế theo diễn biến từng ngày; so sánh, đánh giá mức độ tăng giảm về số lượt, số chi khám chữa bệnh bảo hiểm y tế theo ngày/tuần/tháng so với cùng kỳ năm trước theo từng tuyến chuyên môn kỹ thuật: Trung ương, tỉnh, huyện, xã.</w:t>
      </w:r>
    </w:p>
    <w:p>
      <w:pPr>
        <w:spacing w:after="80" w:before="0"/>
        <w:ind w:left="283"/>
        <w:jc w:val="both"/>
      </w:pPr>
      <w:r>
        <w:rPr>
          <w:rFonts w:ascii="Times New Roman" w:hAnsi="Times New Roman" w:eastAsia="Times New Roman"/>
          <w:b w:val="0"/>
          <w:i w:val="0"/>
          <w:sz w:val="28"/>
        </w:rPr>
        <w:t>- Phạm vi áp dụng: sáng kiến được áp dụng trong toàn Ngành tại các đơn vị trực thuộc BHXH Việt Nam và BHXH cấp tỉnh, BHXH cấp huyện.</w:t>
      </w:r>
    </w:p>
    <w:p>
      <w:pPr>
        <w:spacing w:after="80" w:before="0"/>
        <w:ind w:left="283"/>
        <w:jc w:val="both"/>
      </w:pPr>
      <w:r>
        <w:rPr>
          <w:rFonts w:ascii="Times New Roman" w:hAnsi="Times New Roman" w:eastAsia="Times New Roman"/>
          <w:b w:val="0"/>
          <w:i w:val="0"/>
          <w:sz w:val="28"/>
        </w:rPr>
        <w:t>- Hiệu quả: Từ những kết quả báo cáo đã giúp cho Ban Chỉ đạo phòng chống dịch quốc gia kịp thời đưa ra những quyết sách để phòng chống dịch bệnh trong thời kỳ cao điểm dịch Covid-19. Đồng thời từ sáng kiến trên, phòng Tổng hợp – Thanh toán đa tuyến đã đề xuất xây dựng thành 02 chức năng Thống kê dữ liệu Cổng Tiếp nhận theo ngày và Thống kê, so sánh dữ liệu Cổng tiếp nhận cùng kỳ trên phần mềm Giám sát thuộc Hệ thống thông tin giám định bảo hiểm y tế và đã được đưa vào khai thác sử dụng từ tháng 5/2020.</w:t>
      </w:r>
    </w:p>
    <w:p>
      <w:pPr>
        <w:spacing w:after="80" w:before="0"/>
        <w:ind w:firstLine="720"/>
        <w:jc w:val="both"/>
      </w:pPr>
      <w:r>
        <w:rPr>
          <w:rFonts w:ascii="Times New Roman" w:hAnsi="Times New Roman" w:eastAsia="Times New Roman"/>
          <w:b/>
          <w:i w:val="0"/>
          <w:sz w:val="28"/>
        </w:rPr>
        <w:t>Năm 2021: Sáng kiến cấp cơ sở “Xây dựng công cụ xác định quỹ và giám sát chi khám bệnh, chữa bệnh BHYT thanh toán theo phương thức định suất” được công nhận tại Quyết định số 33/QĐ-GĐĐT ngày 08/11/2021 của Giám đốc Trung tâm Giám định bảo hiểm y tế và Thanh toán đa tuyến.</w:t>
      </w:r>
    </w:p>
    <w:p>
      <w:pPr>
        <w:spacing w:after="80" w:before="0"/>
        <w:ind w:left="283"/>
        <w:jc w:val="both"/>
      </w:pPr>
      <w:r>
        <w:rPr>
          <w:rFonts w:ascii="Times New Roman" w:hAnsi="Times New Roman" w:eastAsia="Times New Roman"/>
          <w:b w:val="0"/>
          <w:i w:val="0"/>
          <w:sz w:val="28"/>
        </w:rPr>
        <w:t>- Nội dung: Căn cứ quy định kèm theo Thông tư 04/2021/TT-BYT của Bộ Y tế và văn bản hướng dẫn của BHXH Việt Nam tại Kế hoạch số 1653/KH-BHXH ngày 11/06/2021 (Kế hoạch triển khai thực hiện Thông tư thanh toán chi phí khám, chữa bệnh bảo hiểm y tế theo định suất), nhóm tác giả đã phân tích nghiệp vụ và xây dựng công cụ trên hệ thống quản trị dữ liệu Oracle để xác định: Chi phí khám bệnh, chữa bệnh bảo hiểm y tế trong định suất, ngoài định suất; Hệ số quy đổi thẻ, quy đổi lượt, thẻ tương đương, thẻ quy đổi; Quỹ định suất; Danh sách bệnh nhân mắc các bệnh có chi phí thanh toán ngoài quỹ định suất; Tỉ lệ điều trị nội trú, tỉ lệ đa tuyến đi, chuyển tuyến.</w:t>
      </w:r>
    </w:p>
    <w:p>
      <w:pPr>
        <w:spacing w:after="80" w:before="0"/>
        <w:ind w:left="283"/>
        <w:jc w:val="both"/>
      </w:pPr>
      <w:r>
        <w:rPr>
          <w:rFonts w:ascii="Times New Roman" w:hAnsi="Times New Roman" w:eastAsia="Times New Roman"/>
          <w:b w:val="0"/>
          <w:i w:val="0"/>
          <w:sz w:val="28"/>
        </w:rPr>
        <w:t>- Phạm vi áp dụng: sáng kiến được áp dụng trong toàn Ngành tại các đơn vị trực thuộc BHXH Việt Nam và BHXH cấp tỉnh, BHXH cấp huyện.</w:t>
      </w:r>
    </w:p>
    <w:p>
      <w:pPr>
        <w:spacing w:after="80" w:before="0"/>
        <w:ind w:left="283"/>
        <w:jc w:val="both"/>
      </w:pPr>
      <w:r>
        <w:rPr>
          <w:rFonts w:ascii="Times New Roman" w:hAnsi="Times New Roman" w:eastAsia="Times New Roman"/>
          <w:b w:val="0"/>
          <w:i w:val="0"/>
          <w:sz w:val="28"/>
        </w:rPr>
        <w:t xml:space="preserve">- Hiệu quả: </w:t>
      </w:r>
    </w:p>
    <w:p>
      <w:pPr>
        <w:spacing w:after="80" w:before="0"/>
        <w:ind w:left="283"/>
        <w:jc w:val="both"/>
      </w:pPr>
      <w:r>
        <w:rPr>
          <w:rFonts w:ascii="Times New Roman" w:hAnsi="Times New Roman" w:eastAsia="Times New Roman"/>
          <w:b w:val="0"/>
          <w:i w:val="0"/>
          <w:sz w:val="28"/>
        </w:rPr>
        <w:t>+ Về tổng hợp, phân tích dữ liệu năm 2019 để tính quỹ định suất năm 2021: đã rút ngắn được nhiều thời gian, nhân lực để phân tích, tính toán quỹ theo quy định tại Thông tư số 04/2021/TT-BYT; kết quả phân tích của nhóm đã được Bảo hiểm xã hội Việt Nam lấy làm cơ sở so sánh, xác định và phân bổ quỹ định suất năm 2021 cho Bảo hiểm xã hội các tỉnh, thành phố trên toàn quốc. Ưu điểm của giải pháp này là giám sát được số liệu trực quan, số liệu được cập nhập kịp thời.</w:t>
      </w:r>
    </w:p>
    <w:p>
      <w:pPr>
        <w:spacing w:after="80" w:before="0"/>
        <w:ind w:left="283"/>
        <w:jc w:val="both"/>
      </w:pPr>
      <w:r>
        <w:rPr>
          <w:rFonts w:ascii="Times New Roman" w:hAnsi="Times New Roman" w:eastAsia="Times New Roman"/>
          <w:b w:val="0"/>
          <w:i w:val="0"/>
          <w:sz w:val="28"/>
        </w:rPr>
        <w:t>+ Về xây dựng công cụ theo dõi, giám sát: từ kết quả tổng hợp dữ liệu nêu trên, nhóm tác giả đã phân tích các chỉ số giám sát và xây dựng 15 bản đồ trên phần mềm Giám sát để hỗ trợ Bảo hiểm xã hội các tỉnh và Bảo hiểm xã hội Việt Nam theo dõi thường xuyên, trực quan về việc chi khám bệnh, chữa bệnh tại từng cơ sở khám bệnh, chữa bệnh bảo hiểm y tế áp dụng thanh toán theo phương pháp định suất trên phạm vi toàn tỉnh, toàn quốc.</w:t>
      </w:r>
    </w:p>
    <w:p>
      <w:pPr>
        <w:spacing w:after="80" w:before="0"/>
        <w:ind w:firstLine="720"/>
        <w:jc w:val="both"/>
      </w:pPr>
      <w:r>
        <w:rPr>
          <w:rFonts w:ascii="Times New Roman" w:hAnsi="Times New Roman" w:eastAsia="Times New Roman"/>
          <w:b/>
          <w:i w:val="0"/>
          <w:sz w:val="28"/>
        </w:rPr>
        <w:t xml:space="preserve">Năm 2022: </w:t>
      </w:r>
    </w:p>
    <w:p>
      <w:pPr>
        <w:spacing w:after="80" w:before="0"/>
        <w:ind w:firstLine="720"/>
        <w:jc w:val="both"/>
      </w:pPr>
      <w:r>
        <w:rPr>
          <w:rFonts w:ascii="Times New Roman" w:hAnsi="Times New Roman" w:eastAsia="Times New Roman"/>
          <w:b/>
          <w:i w:val="0"/>
          <w:sz w:val="28"/>
        </w:rPr>
        <w:t>a) Sáng kiến cấp cơ sở “Xây dựng chức năng cấu hình nhóm tỉnh trên phần mềm Giám sát” được công nhận tại Quyết định số 27/QĐ-GĐĐT ngày 09/11/2022 của Giám đốc Trung tâm Giám định bảo hiểm y tế và Thanh toán đa tuyến.</w:t>
      </w:r>
    </w:p>
    <w:p>
      <w:pPr>
        <w:spacing w:after="80" w:before="0"/>
        <w:ind w:left="283"/>
        <w:jc w:val="both"/>
      </w:pPr>
      <w:r>
        <w:rPr>
          <w:rFonts w:ascii="Times New Roman" w:hAnsi="Times New Roman" w:eastAsia="Times New Roman"/>
          <w:b w:val="0"/>
          <w:i w:val="0"/>
          <w:sz w:val="28"/>
        </w:rPr>
        <w:t>+ Nội dung: Phần mềm Giám sát có rất nhiều các bản đồ với nhiều chỉ tiêu thống kê khác nhau, các bản đồ đều cho chức năng lọc dữ liệu theo các tỉnh. Tuy nhiên, khi người sử dụng cần theo dõi một số tỉnh chuyên quản theo chuyên đề hoặc đi công tác theo vùng, với mỗi bản đồ sẽ phải lọc các tỉnh cần kiểm tra để lấy số liệu. Việc thao tác này gây mất thời gian và bất tiện trong quá trình sử dụng. Nhận thấy vấn đề này, nhóm nghiên cứu đã đề xuất xây dựng chức năng cấu hình vùng tỉnh cho từng tài khoản người dùng. Mỗi người dùng sẽ có chức năng cấu hình nhóm tỉnh, chọn các tỉnh cần theo dõi, sau đó tất cả các bản đồ trên phần mềm Giám sát sẽ mặc định lọc theo nhóm tỉnh chuyên quản.</w:t>
      </w:r>
    </w:p>
    <w:p>
      <w:pPr>
        <w:spacing w:after="80" w:before="0"/>
        <w:ind w:firstLine="720"/>
        <w:jc w:val="both"/>
      </w:pPr>
      <w:r>
        <w:rPr>
          <w:rFonts w:ascii="Times New Roman" w:hAnsi="Times New Roman" w:eastAsia="Times New Roman"/>
          <w:b w:val="0"/>
          <w:i w:val="0"/>
          <w:sz w:val="28"/>
        </w:rPr>
        <w:t>Ưu điểm tính năng này là hỗ trợ cho người sử dụng khi cần theo dõi các chỉ tiêu trên phần mềm Giám sát của một số tỉnh, thành phố. Chức năng đã được triển khai thành công trên phần mềm Giám sát và giúp ích rất lớn, nhất là trong các đợt công tác kiểm tra theo từng cụm, vùng.</w:t>
      </w:r>
    </w:p>
    <w:p>
      <w:pPr>
        <w:spacing w:after="80" w:before="0"/>
        <w:ind w:left="283"/>
        <w:jc w:val="both"/>
      </w:pPr>
      <w:r>
        <w:rPr>
          <w:rFonts w:ascii="Times New Roman" w:hAnsi="Times New Roman" w:eastAsia="Times New Roman"/>
          <w:b w:val="0"/>
          <w:i w:val="0"/>
          <w:sz w:val="28"/>
        </w:rPr>
        <w:t>+ Phạm vi áp dụng: Cán bộ tại Bảo hiểm xã hội Việt Nam được phân quyền khai thác thông tin trên phần mềm Giám sát chi KCB BHYT.</w:t>
      </w:r>
    </w:p>
    <w:p>
      <w:pPr>
        <w:spacing w:after="80" w:before="0"/>
        <w:ind w:left="283"/>
        <w:jc w:val="both"/>
      </w:pPr>
      <w:r>
        <w:rPr>
          <w:rFonts w:ascii="Times New Roman" w:hAnsi="Times New Roman" w:eastAsia="Times New Roman"/>
          <w:b w:val="0"/>
          <w:i w:val="0"/>
          <w:sz w:val="28"/>
        </w:rPr>
        <w:t>+ Hiệu quả: Hiển thị nhanh chóng các chỉ tiêu của các tỉnh, thành phố cần quan tâm; giảm thời gian, nhân lực trong công tác báo cáo số liệu; việc cấu hình có thể linh hoạt theo từng tài khoản người sử dụng.</w:t>
      </w:r>
    </w:p>
    <w:p>
      <w:pPr>
        <w:spacing w:after="80" w:before="0"/>
        <w:ind w:firstLine="720"/>
        <w:jc w:val="both"/>
      </w:pPr>
      <w:r>
        <w:rPr>
          <w:rFonts w:ascii="Times New Roman" w:hAnsi="Times New Roman" w:eastAsia="Times New Roman"/>
          <w:b/>
          <w:i w:val="0"/>
          <w:sz w:val="28"/>
        </w:rPr>
        <w:t>b) Tham gia nhiệm vụ khoa học và công nghệ cấp Bộ “Hoàn thiện quy trình giám định bảo hiểm y tế” được công nhận theo Quyết định số 1104/QĐ-BHXH ngày 22/4/2022 của Tổng Giám đốc BHXH Việt Nam</w:t>
      </w:r>
    </w:p>
    <w:p>
      <w:pPr>
        <w:spacing w:after="80" w:before="0"/>
        <w:ind w:left="283"/>
        <w:jc w:val="both"/>
      </w:pPr>
      <w:r>
        <w:rPr>
          <w:rFonts w:ascii="Times New Roman" w:hAnsi="Times New Roman" w:eastAsia="Times New Roman"/>
          <w:b w:val="0"/>
          <w:i w:val="0"/>
          <w:sz w:val="28"/>
        </w:rPr>
        <w:t>- Nội dung: Khắc phục các tồn tại, bất hợp lý sau 5 năm thực hiện Quy trình giám định BHYT ban hành kèm theo Quyết định số 1456/QĐ-BHXH : xác định rõ chức năng, nhiệm vụ và trách nhiệm của cơ quan Bảo hiểm xã hội với Sở Y tế và cơ sở khám, chữa bệnh; nâng cao trình độ chuyên môn và tính chuyên nghiệp trong công tác giám định BHYT phù hợp với tình hình kinh tế xã hội hiện tại, đáp ứng đúng tinh thần chính phủ điện tử thời đại 4.0, áp dụng công nghệ thông tin vào giám định, thanh quyết toán chi phí KCB BHYT đi đúng xu thế của thời đại.</w:t>
      </w:r>
    </w:p>
    <w:p>
      <w:pPr>
        <w:spacing w:after="80" w:before="0"/>
        <w:jc w:val="both"/>
      </w:pPr>
      <w:r>
        <w:rPr>
          <w:rFonts w:ascii="Times New Roman" w:hAnsi="Times New Roman" w:eastAsia="Times New Roman"/>
          <w:b w:val="0"/>
          <w:i w:val="0"/>
          <w:sz w:val="28"/>
        </w:rPr>
        <w:t xml:space="preserve">  </w:t>
        <w:tab/>
        <w:t>Phù hợp với các quy định của Luật sửa đổi, bổ sung một số điều Luật BHYT và các văn bản hướng dẫn thực hiện Luật BHYT; Các Nghị định, Thông tư ban hành mới</w:t>
      </w:r>
    </w:p>
    <w:p>
      <w:pPr>
        <w:spacing w:after="80" w:before="0"/>
        <w:jc w:val="both"/>
      </w:pPr>
      <w:r>
        <w:rPr>
          <w:rFonts w:ascii="Times New Roman" w:hAnsi="Times New Roman" w:eastAsia="Times New Roman"/>
          <w:b w:val="0"/>
          <w:i w:val="0"/>
          <w:sz w:val="28"/>
        </w:rPr>
        <w:tab/>
        <w:t>Ban hành Quyết định hướng dẫn tổ chức thực hiện Quy trình giám định BHYT mới trong khám, chữa bệnh, đảm bảo quyền lợi của người tham gia BHYT và sử dụng quỹ BHYT có hiệu quả.</w:t>
      </w:r>
    </w:p>
    <w:p>
      <w:pPr>
        <w:spacing w:after="80" w:before="0"/>
        <w:ind w:left="283"/>
        <w:jc w:val="both"/>
      </w:pPr>
      <w:r>
        <w:rPr>
          <w:rFonts w:ascii="Times New Roman" w:hAnsi="Times New Roman" w:eastAsia="Times New Roman"/>
          <w:b w:val="0"/>
          <w:i w:val="0"/>
          <w:sz w:val="28"/>
        </w:rPr>
        <w:t>- Phạm vi áp dụng: Hệ thống Bảo hiểm xã hội.</w:t>
      </w:r>
    </w:p>
    <w:p>
      <w:pPr>
        <w:spacing w:after="80" w:before="0"/>
        <w:ind w:left="283"/>
        <w:jc w:val="both"/>
      </w:pPr>
      <w:r>
        <w:rPr>
          <w:rFonts w:ascii="Times New Roman" w:hAnsi="Times New Roman" w:eastAsia="Times New Roman"/>
          <w:b w:val="0"/>
          <w:i w:val="0"/>
          <w:sz w:val="28"/>
        </w:rPr>
        <w:t>- Hiệu quả: Ban hành Quy trình giám định BHYT mới theo Quyết định số 3618/QĐ-BHXH ngày 12/12/2022 của Tổng Giám đốc BHXH Việt Nam để thay thế quy trình giám định BHYT được ban hành kèm theo Quyết định số 1456/QĐ-BHXH.</w:t>
      </w:r>
    </w:p>
    <w:p>
      <w:pPr>
        <w:spacing w:after="80" w:before="0"/>
        <w:ind w:firstLine="720"/>
        <w:jc w:val="both"/>
      </w:pPr>
      <w:r>
        <w:rPr>
          <w:rFonts w:ascii="Times New Roman" w:hAnsi="Times New Roman" w:eastAsia="Times New Roman"/>
          <w:b/>
          <w:i w:val="0"/>
          <w:sz w:val="28"/>
        </w:rPr>
        <w:t>Năm 2023: Sáng kiến cấp cơ sở “Xây dựng giải pháp, công cụ lập báo cáo quyết toán để đảm bảo tiến độ quyết toán trong thời gian chờ hoàn thiện phần mềm Giám định” được công nhận tại Quyết định số 20/QĐ-GĐĐT ngày 03/11/2023 của Giám đốc Trung tâm Giám định bảo hiểm y tế và Thanh toán đa tuyến.</w:t>
      </w:r>
    </w:p>
    <w:p>
      <w:pPr>
        <w:spacing w:after="80" w:before="0"/>
        <w:ind w:left="283"/>
        <w:jc w:val="both"/>
      </w:pPr>
      <w:r>
        <w:rPr>
          <w:rFonts w:ascii="Times New Roman" w:hAnsi="Times New Roman" w:eastAsia="Times New Roman"/>
          <w:b w:val="0"/>
          <w:i w:val="0"/>
          <w:sz w:val="28"/>
        </w:rPr>
        <w:t>+ Nội dung: Xây dựng công cụ tính toán kết quả giám định từ dữ liệu giảm trừ tự động và chủ động trên phần mềm giám định. Lập tự động các biểu quyết toán chi phí khám chữa bệnh BHYT mẫu C80-HD, C82-HD file Excel, tổng hợp kết quả giám định theo nội dung sai sót để hỗ trợ BHXH các tỉnh, thành phố thực hiện quyết toán chi KCB BHYT trong thời gian chờ hoàn thiện phần mềm theo Quy trình giám định ban hành theo Quyết định số 3618/QĐ-BHXH.</w:t>
      </w:r>
    </w:p>
    <w:p>
      <w:pPr>
        <w:spacing w:after="80" w:before="0"/>
        <w:ind w:left="283"/>
        <w:jc w:val="both"/>
      </w:pPr>
      <w:r>
        <w:rPr>
          <w:rFonts w:ascii="Times New Roman" w:hAnsi="Times New Roman" w:eastAsia="Times New Roman"/>
          <w:b w:val="0"/>
          <w:i w:val="0"/>
          <w:sz w:val="28"/>
        </w:rPr>
        <w:t>+ Phạm vi áp dụng: sáng kiến được triển khai áp dụng trên toàn quốc, các đơn vị nghiệp vụ BHXH Việt Nam, BHXH các tỉnh, thành phố xem được báo cáo tổng hợp để thực hiện công tác đối chiếu số liệu, tổng hợp thanh quyết toán với cơ sở KCB.</w:t>
      </w:r>
    </w:p>
    <w:p>
      <w:pPr>
        <w:spacing w:after="80" w:before="0"/>
        <w:ind w:left="283"/>
        <w:jc w:val="both"/>
      </w:pPr>
      <w:r>
        <w:rPr>
          <w:rFonts w:ascii="Times New Roman" w:hAnsi="Times New Roman" w:eastAsia="Times New Roman"/>
          <w:b w:val="0"/>
          <w:i w:val="0"/>
          <w:sz w:val="28"/>
        </w:rPr>
        <w:t>+ Hiệu quả: Việc ứng dụng công nghệ thông tin trong việc xây dựng công cụ tính toán kết quả giám định và xuất kết quả giám định theo định dạng 3360b, dữ liệu tổng hợp và mẫu báo cáo C80-HD, C82-HD, thông báo sai sót lên phần mềm Giám sát đã rút ngắng thời gian và nhân lực làm công tác thống kê, tổng hợp chi KCB BHYT, đồng thời hỗ trợ BHXH trung ương, BHXH các tỉnh, thành phố có tổng hợp kết quả thực làm căn cứ chốt số liệu giám định, quyết toán với CSKCB trong thời gian phần mềm Giám định chưa hoàn thiện chức năng. Dữ liệu chi tiết 3360b và thông báo sai sót được xuất ở định dạng sqlite, các mẫu báo cáo C80-HD, C82-HD và dữ liệu tổng hợp theo từng chỉ tiêu lên biểu được xuất theo định dạng excel tại mục File/Dữ liệu tổng hợp của từng tỉnh.</w:t>
      </w:r>
    </w:p>
    <w:p>
      <w:pPr>
        <w:spacing w:after="80" w:before="0"/>
        <w:ind w:left="283"/>
        <w:jc w:val="both"/>
      </w:pPr>
      <w:r>
        <w:rPr>
          <w:rFonts w:ascii="Times New Roman" w:hAnsi="Times New Roman" w:eastAsia="Times New Roman"/>
          <w:b w:val="0"/>
          <w:i w:val="0"/>
          <w:sz w:val="28"/>
        </w:rPr>
        <w:t>-  Thực thiện nhiệm vụ khoa học và công nghệ cấp cơ sở “Nghiên cứu giải pháp ứng dụng công nghệ nhận dạng kí tự quang học trong công tác giám định bảo hiểm y tế” được công nhận theo Quyết định số 12/QĐ-BHXH ngày 08/01/2025 của Tổng Giám đốc BHXH Việt Nam:</w:t>
      </w:r>
    </w:p>
    <w:p>
      <w:pPr>
        <w:spacing w:after="80" w:before="0"/>
        <w:ind w:left="283"/>
        <w:jc w:val="both"/>
      </w:pPr>
      <w:r>
        <w:rPr>
          <w:rFonts w:ascii="Times New Roman" w:hAnsi="Times New Roman" w:eastAsia="Times New Roman"/>
          <w:b w:val="0"/>
          <w:i w:val="0"/>
          <w:sz w:val="28"/>
        </w:rPr>
        <w:t xml:space="preserve">+ Nội dung: </w:t>
      </w:r>
    </w:p>
    <w:p>
      <w:pPr>
        <w:spacing w:after="80" w:before="0"/>
        <w:ind w:firstLine="720"/>
        <w:jc w:val="both"/>
      </w:pPr>
      <w:r>
        <w:rPr>
          <w:rFonts w:ascii="Times New Roman" w:hAnsi="Times New Roman" w:eastAsia="Times New Roman"/>
          <w:b w:val="0"/>
          <w:i w:val="0"/>
          <w:sz w:val="28"/>
        </w:rPr>
        <w:t xml:space="preserve">Nghiên cứu tổng quan, cơ sở lý luận chung về công nghệ trí tuệ nhân tạo kết hợp nhận dạng ký tự quang học. </w:t>
      </w:r>
    </w:p>
    <w:p>
      <w:pPr>
        <w:spacing w:after="80" w:before="0"/>
        <w:ind w:firstLine="720"/>
        <w:jc w:val="both"/>
      </w:pPr>
      <w:r>
        <w:rPr>
          <w:rFonts w:ascii="Times New Roman" w:hAnsi="Times New Roman" w:eastAsia="Times New Roman"/>
          <w:b w:val="0"/>
          <w:i w:val="0"/>
          <w:sz w:val="28"/>
        </w:rPr>
        <w:t xml:space="preserve">Phân tích các quy trình nghiệp vụ giám định trên Hệ thống có thể áp dụng công nghệ trí tuệ nhân tạo kết hợp nhận dạng ký tự quang học. </w:t>
      </w:r>
    </w:p>
    <w:p>
      <w:pPr>
        <w:spacing w:after="80" w:before="0"/>
        <w:ind w:firstLine="720"/>
        <w:jc w:val="both"/>
      </w:pPr>
      <w:r>
        <w:rPr>
          <w:rFonts w:ascii="Times New Roman" w:hAnsi="Times New Roman" w:eastAsia="Times New Roman"/>
          <w:b w:val="0"/>
          <w:i w:val="0"/>
          <w:sz w:val="28"/>
        </w:rPr>
        <w:t>Xây dựng các tài liệu giải pháp kỹ thuật, ứng dụng công nghệ trí tuệ nhân tạo kết hợp nhận dạng ký tự quang học trong công tác giám định chi phí khám chữa bệnh BHYT.</w:t>
      </w:r>
    </w:p>
    <w:p>
      <w:pPr>
        <w:spacing w:after="80" w:before="0"/>
        <w:ind w:left="283"/>
        <w:jc w:val="both"/>
      </w:pPr>
      <w:r>
        <w:rPr>
          <w:rFonts w:ascii="Times New Roman" w:hAnsi="Times New Roman" w:eastAsia="Times New Roman"/>
          <w:b w:val="0"/>
          <w:i w:val="0"/>
          <w:sz w:val="28"/>
        </w:rPr>
        <w:t>+ Phạm vi áp dụng: trong toàn Ngành.</w:t>
      </w:r>
    </w:p>
    <w:p>
      <w:pPr>
        <w:spacing w:after="80" w:before="0"/>
        <w:ind w:left="283"/>
        <w:jc w:val="both"/>
      </w:pPr>
      <w:r>
        <w:rPr>
          <w:rFonts w:ascii="Times New Roman" w:hAnsi="Times New Roman" w:eastAsia="Times New Roman"/>
          <w:b w:val="0"/>
          <w:i w:val="0"/>
          <w:sz w:val="28"/>
        </w:rPr>
        <w:t xml:space="preserve">+ Hiệu quả: Nghiên cứu các tài liệu có thể tối ưu hóa, áp dụng công nghệ nhận dạng ký tự quang học để nhận dạng thông tin nhằm đưa ra các cảnh báo khách quan trong quá trình giám định, cụ thể: quy trình chuyên môn kỹ thuật, hướng dẫn chẩn đoán và điều trị do Bộ Y tế ban hành hoặc danh mục thuốc, DVKT, VTYT được phê duyệt áp dụng tại các cơ sở KCB, dược thư quốc gia, hướng dẫn sử dụng thuốc, danh sách người hành nghề KCB của cơ sở y tế; các mẫu thống kê, báo cáo sử dụng thuốc, VTYT, DVKT thanh toán BHYT (Mẫu 19/BHYT, 20/BHYT, 21/BHYT), mẫu tổng hợp chi phí KCB BHYT (C79-HD),... </w:t>
      </w:r>
    </w:p>
    <w:p>
      <w:pPr>
        <w:spacing w:after="80" w:before="0"/>
        <w:ind w:firstLine="709"/>
        <w:jc w:val="both"/>
      </w:pPr>
      <w:r>
        <w:rPr>
          <w:rFonts w:ascii="Times New Roman" w:hAnsi="Times New Roman" w:eastAsia="Times New Roman"/>
          <w:b w:val="0"/>
          <w:i w:val="0"/>
          <w:sz w:val="28"/>
        </w:rPr>
        <w:t xml:space="preserve">Các quy trình nghiệp vụ trên Hệ thống như: quy trình thẩm định hồ sơ ký hợp đồng, giám định các danh mục, quy trình kỹ thuật có thể kiểm tra tự động khi gửi dữ liệu yêu cầu thanh toán. </w:t>
      </w:r>
    </w:p>
    <w:p>
      <w:pPr>
        <w:spacing w:after="80" w:before="0"/>
        <w:ind w:firstLine="709"/>
        <w:jc w:val="both"/>
      </w:pPr>
      <w:r>
        <w:rPr>
          <w:rFonts w:ascii="Times New Roman" w:hAnsi="Times New Roman" w:eastAsia="Times New Roman"/>
          <w:b/>
          <w:i w:val="0"/>
          <w:sz w:val="28"/>
        </w:rPr>
        <w:t>Năm 2024: Sáng kiến cấp cơ sở “Xây dựng công cụ cảnh báo gia tăng chi phí khám bệnh, chữa bệnh theo Nghị định số 75/2023/NĐ-CP trên phần mềm Giám sát” được công nhận tại Quyết định số 24/QĐ-GĐĐT ngày 29/10/2024 của Giám đốc Trung tâm Giám định bảo hiểm y tế và Thanh toán đa tuyến.</w:t>
      </w:r>
    </w:p>
    <w:p>
      <w:pPr>
        <w:spacing w:after="80" w:before="0"/>
        <w:ind w:left="283"/>
        <w:jc w:val="both"/>
      </w:pPr>
      <w:r>
        <w:rPr>
          <w:rFonts w:ascii="Times New Roman" w:hAnsi="Times New Roman" w:eastAsia="Times New Roman"/>
          <w:b w:val="0"/>
          <w:i w:val="0"/>
          <w:sz w:val="28"/>
        </w:rPr>
        <w:t>- Nội dung: Xây dựng công cụ để tổng hợp tự động chi phí KCB theo từng ngày nhận dữ liệu. So sánh chi phí KCB của từng cơ sở KCB với kỳ trước, với các cơ sở cùng hạng, cùng tuyến trong địa bàn, vùng kinh tế, toàn quốc theo quy định tại Nghị định số 75/2023/NĐ-CP.</w:t>
      </w:r>
    </w:p>
    <w:p>
      <w:pPr>
        <w:spacing w:after="80" w:before="0"/>
        <w:ind w:left="283"/>
        <w:jc w:val="both"/>
      </w:pPr>
      <w:r>
        <w:rPr>
          <w:rFonts w:ascii="Times New Roman" w:hAnsi="Times New Roman" w:eastAsia="Times New Roman"/>
          <w:b w:val="0"/>
          <w:i w:val="0"/>
          <w:sz w:val="28"/>
        </w:rPr>
        <w:t>- Phạm vi áp dụng: sáng kiến được triển khai áp dụng trên toàn quốc, BHXH cấp trung ương, BHXH các tỉnh, thành phố xem được báo cáo tổng hợp để có thể kiểm soát chi KCB BHYT, phản hồi kịp thời cho cơ sở KCB về dữ liệu KCB BHYT; chủ động rà soát, phát hiện và gửi thông tin cảnh báo kịp thời cho cơ sở KCb BHYT về các chi phí khám bệnh, chữa bệnh bảo hiểm y tế tăng cao so với mức chi phí bình quân của cơ sở khám bệnh, chữa bệnh cùng hạng, cùng tuyến, cùng chuyên khoa.</w:t>
      </w:r>
    </w:p>
    <w:p>
      <w:pPr>
        <w:spacing w:after="80" w:before="0"/>
        <w:ind w:left="283"/>
        <w:jc w:val="both"/>
      </w:pPr>
      <w:r>
        <w:rPr>
          <w:rFonts w:ascii="Times New Roman" w:hAnsi="Times New Roman" w:eastAsia="Times New Roman"/>
          <w:b w:val="0"/>
          <w:i w:val="0"/>
          <w:sz w:val="28"/>
        </w:rPr>
        <w:t>- Hiệu quả: Việc ứng dụng công nghệ thông tin trong việc cảnh báo gia tăng chi phí KCB BHYT đã rút ngắn thời gian và nhân lực làm công tác phân tích, đánh giá tình hình KCB BHYT, đồng thời hỗ trợ BHXH trung ương, BHXH các tỉnh, thành phố nắm bắt nhanh chóng, chính xác, thực trạng đề nghị thanh toán chi phí KCB BHYT của các cơ sở KCB theo từng ngày để kịp thời kiểm soát việc KCB BHYT tại các cơ sở KCB. Sau khi chạy dữ liệu chi tiết, phần mềm tự động phân tích, tính toán tần suất KCB và đưa ra kết quả tại chức năng cảnh báo trên Phần mềm Giám sát. Các biểu đồ hiển thị kết quả chi tiết như sau: Cảnh báo gia tăng chi bình quân chung của tháng tại cơ sở KCB: hiển thị bình quân theo các nhóm chi phí tại cơ sở KCB, so sánh với kỳ trước, cùng kỳ năm trước. Diễn biến chi bình quân KCB BHYT tại cơ sở KCB: hiển thị bình quân chi KCB theo từng ngày tại cơ sở KCB, so sánh với số chi bình quân của tháng trước, năm trước. So sánh chi bình quân KCB BHYT của bệnh viện với các cơ sở KCB cùng chuyên khoa: hiển thị chi bình quân của cơ sở KCB theo các thình thức KCB, đối chiếu với số liệu của các cơ sở KCB trong cùng địa bàn, vùng kinh tế, toàn quốc. Gia tăng chi bình quân theo bệnh tại cơ sở KCB: hiển thị chi bình quân tại cơ sở KCB theo từng mã bệnh và các loại chi phí, đối chiếu với số liệu kỳ trước của cơ sở KCB. So sánh chi bình quân theo bệnh với các cơ sở KCB cùng hạng, chuyên khoa: Hiển thị chi bình quân theo từng mã bệnh, loại chi phí, so sánh với các cơ sở cùng hạng, chuyên khoa, hạng trên cùng chuyên khoa.</w:t>
      </w:r>
    </w:p>
    <w:p>
      <w:pPr>
        <w:spacing w:after="80" w:before="0"/>
        <w:ind w:firstLine="720"/>
        <w:jc w:val="both"/>
      </w:pPr>
      <w:r>
        <w:rPr>
          <w:rFonts w:ascii="Times New Roman" w:hAnsi="Times New Roman" w:eastAsia="Times New Roman"/>
          <w:b w:val="0"/>
          <w:i w:val="0"/>
          <w:sz w:val="28"/>
        </w:rPr>
        <w:t xml:space="preserve">Năm 2025: </w:t>
      </w:r>
    </w:p>
    <w:p>
      <w:pPr>
        <w:spacing w:after="80" w:before="0"/>
        <w:ind w:firstLine="720"/>
        <w:jc w:val="both"/>
      </w:pPr>
      <w:r>
        <w:rPr>
          <w:rFonts w:ascii="Times New Roman" w:hAnsi="Times New Roman" w:eastAsia="Times New Roman"/>
          <w:b/>
          <w:i w:val="0"/>
          <w:sz w:val="28"/>
        </w:rPr>
        <w:t>a) Chủ nhiệm Ðề tài“Nghiên cứu giải pháp ứng dụng công nghệ nhận dạng kí tự quang học trong công tác giám định bảo hiểm y tế” được công nhân kết quả theo Quyết định số 12/QĐ-BHXH ngày 08/01/2025 của Tổng Giám đốc BHXH Việt Nam.</w:t>
      </w:r>
    </w:p>
    <w:p>
      <w:pPr>
        <w:spacing w:after="80" w:before="0"/>
        <w:ind w:firstLine="720"/>
        <w:jc w:val="both"/>
      </w:pPr>
      <w:r>
        <w:rPr>
          <w:rFonts w:ascii="Times New Roman" w:hAnsi="Times New Roman" w:eastAsia="Times New Roman"/>
          <w:b/>
          <w:i w:val="0"/>
          <w:sz w:val="28"/>
        </w:rPr>
        <w:t>Mục tiêu nghiên cứu</w:t>
      </w:r>
    </w:p>
    <w:p>
      <w:pPr>
        <w:spacing w:after="80" w:before="0"/>
        <w:ind w:firstLine="720"/>
        <w:jc w:val="both"/>
      </w:pPr>
      <w:r>
        <w:rPr>
          <w:rFonts w:ascii="Times New Roman" w:hAnsi="Times New Roman" w:eastAsia="Times New Roman"/>
          <w:b w:val="0"/>
          <w:i w:val="0"/>
          <w:sz w:val="28"/>
        </w:rPr>
        <w:t>Xây dựng giải pháp ứng dụng công nghệ nhận dạng ký tự quang học (AI-OCR) trong việc tạo lập các danh mục dùng chung và cơ sở dữ liệu trên Hệ thống thông tin giám định BHYT phục vụ công tác giám định chi phí KCB BHYT.</w:t>
      </w:r>
    </w:p>
    <w:p>
      <w:pPr>
        <w:spacing w:after="80" w:before="0"/>
        <w:ind w:left="283"/>
        <w:jc w:val="both"/>
      </w:pPr>
      <w:r>
        <w:rPr>
          <w:rFonts w:ascii="Times New Roman" w:hAnsi="Times New Roman" w:eastAsia="Times New Roman"/>
          <w:b w:val="0"/>
          <w:i w:val="0"/>
          <w:sz w:val="28"/>
        </w:rPr>
        <w:t xml:space="preserve">- Nghiên cứu tổng quan, cơ sở lý luận chung về công nghệ trí tuệ nhân tạo kết hợp nhận dạng ký tự quang học. </w:t>
      </w:r>
    </w:p>
    <w:p>
      <w:pPr>
        <w:spacing w:after="80" w:before="0"/>
        <w:ind w:left="283"/>
        <w:jc w:val="both"/>
      </w:pPr>
      <w:r>
        <w:rPr>
          <w:rFonts w:ascii="Times New Roman" w:hAnsi="Times New Roman" w:eastAsia="Times New Roman"/>
          <w:b w:val="0"/>
          <w:i w:val="0"/>
          <w:sz w:val="28"/>
        </w:rPr>
        <w:t xml:space="preserve">- Phân tích các quy trình nghiệp vụ giám định trên Hệ thống có thể áp dụng công nghệ trí tuệ nhân tạo kết hợp nhận dạng ký tự quang học. </w:t>
      </w:r>
    </w:p>
    <w:p>
      <w:pPr>
        <w:spacing w:after="80" w:before="0"/>
        <w:ind w:left="283"/>
        <w:jc w:val="both"/>
      </w:pPr>
      <w:r>
        <w:rPr>
          <w:rFonts w:ascii="Times New Roman" w:hAnsi="Times New Roman" w:eastAsia="Times New Roman"/>
          <w:b w:val="0"/>
          <w:i w:val="0"/>
          <w:sz w:val="28"/>
        </w:rPr>
        <w:t>- Xây dựng các tài liệu giải pháp kỹ thuật, ứng dụng công nghệ trí tuệ nhân tạo kết hợp nhận dạng ký tự quang học trong công tác giám định chi phí khám chữa bệnh BHYT.</w:t>
      </w:r>
    </w:p>
    <w:p>
      <w:pPr>
        <w:spacing w:after="80" w:before="0"/>
        <w:ind w:firstLine="720"/>
        <w:jc w:val="both"/>
      </w:pPr>
      <w:r>
        <w:rPr>
          <w:rFonts w:ascii="Times New Roman" w:hAnsi="Times New Roman" w:eastAsia="Times New Roman"/>
          <w:b/>
          <w:i w:val="0"/>
          <w:sz w:val="28"/>
        </w:rPr>
        <w:t>b) Sáng kiến cấp cơ sở: “Xây dựng công cụ công bố số lượng thuốc, thiết bị y tế chưa sử dụng hết theo kết quả trúng thầu của các cơ sở khám bệnh, chữa bệnh bảo hiểm y tế trên Cổng tiếp nhận dữ liệu của BHXH Việt Nam theo quy định tại Nghị định số 188/2025/NĐ-CP" được công nhận theo Quyết định số 04/QĐ-TTKS ngày 04/2/2026 của Giám đốc Trung tâm Kiểm soát thanh toán BHXH, BHYT điện tử.</w:t>
      </w:r>
    </w:p>
    <w:p>
      <w:pPr>
        <w:spacing w:after="80" w:before="0"/>
        <w:ind w:firstLine="720"/>
        <w:jc w:val="both"/>
      </w:pPr>
      <w:r>
        <w:rPr>
          <w:rFonts w:ascii="Times New Roman" w:hAnsi="Times New Roman" w:eastAsia="Times New Roman"/>
          <w:b w:val="0"/>
          <w:i w:val="0"/>
          <w:sz w:val="28"/>
        </w:rPr>
        <w:t>Hiệu quả áp dụng: Xây dựng công cụ công bổ số lượng thuốc, thiết bị y tế chưa sử dụng hết theo kết quả trúng thầu của các cơ sở khám bệnh, chữa bệnh bảo hiểm y tế trên Cổng tiếp nhận dữ liệu của BHXH Việt Nam để các cơ sở khám bệnh, chữa bệnh có căn cứ tham khảo, đề nghị điều chuyển theo quy định Nghị định số 188/2025/NĐ-CP. Cơ sở dữ liệu được xây dựng trên phần mềm Giám sát, cập nhật hằng tuần. Trên cơ sở đó, đội kỹ thuật đã xây dựng chức năng hiển thị trên Cổng tiếp nhận dữ liệu của Bảo hiểm xã hội Việt Nam, không phát sinh việc phân tích, xử lý hay tổng hợp số liệu mới và góp phân giảm áp lực xử lý, vận hành cho phẩn mềm Giám định.</w:t>
      </w:r>
    </w:p>
    <w:p>
      <w:pPr>
        <w:spacing w:after="80" w:before="0"/>
        <w:ind w:firstLine="720"/>
        <w:jc w:val="both"/>
      </w:pPr>
      <w:r>
        <w:rPr>
          <w:rFonts w:ascii="Times New Roman" w:hAnsi="Times New Roman" w:eastAsia="Times New Roman"/>
          <w:b/>
          <w:i w:val="0"/>
          <w:sz w:val="28"/>
        </w:rPr>
        <w:t>c) Sáng kiến cấp cơ sở: "Xây dựng chức năng trên phần mềm Giám sát thổng kê tình hình Khám chữa bệnh (KCB) theo đơn vị tham gia bảo hiếm xã hội”. được công nhận theo Quyết định số 04/QĐ-TTKS ngày 04/2/2026 của Giám đốc Trung tâm Kiểm soát thanh toán BHXH, BHYT điện tử.</w:t>
      </w:r>
    </w:p>
    <w:p>
      <w:pPr>
        <w:spacing w:after="80" w:before="0"/>
        <w:ind w:firstLine="720"/>
        <w:jc w:val="both"/>
      </w:pPr>
      <w:r>
        <w:rPr>
          <w:rFonts w:ascii="Times New Roman" w:hAnsi="Times New Roman" w:eastAsia="Times New Roman"/>
          <w:b w:val="0"/>
          <w:i w:val="0"/>
          <w:sz w:val="28"/>
        </w:rPr>
        <w:t>Hiệu quả áp dụng:</w:t>
      </w:r>
    </w:p>
    <w:p>
      <w:pPr>
        <w:spacing w:after="80" w:before="0"/>
        <w:ind w:left="283"/>
        <w:jc w:val="both"/>
      </w:pPr>
      <w:r>
        <w:rPr>
          <w:rFonts w:ascii="Times New Roman" w:hAnsi="Times New Roman" w:eastAsia="Times New Roman"/>
          <w:b w:val="0"/>
          <w:i w:val="0"/>
          <w:sz w:val="28"/>
        </w:rPr>
        <w:t xml:space="preserve"> - Trước đây trên phần mềm Giám sát chỉ thống kê tình hình khám chữa bệnh theo tỉnh, theo cơ sở KCB. Việc thống kê này có một số hạn chế như:</w:t>
      </w:r>
    </w:p>
    <w:p>
      <w:pPr>
        <w:spacing w:after="80" w:before="0"/>
        <w:ind w:left="283"/>
        <w:jc w:val="both"/>
      </w:pPr>
      <w:r>
        <w:rPr>
          <w:rFonts w:ascii="Times New Roman" w:hAnsi="Times New Roman" w:eastAsia="Times New Roman"/>
          <w:b w:val="0"/>
          <w:i w:val="0"/>
          <w:sz w:val="28"/>
        </w:rPr>
        <w:t xml:space="preserve"> + Khó phát hiện gian lận tinh vi: việc thống kê theo tỉnh hoặc cơ sở KCB chỉ giúp đánh giá mức chi chung và xu hướng KCB tại khu vực/cơ sở đó, không thể nhìn ra rõ được hết các trường hợp có dấu hiệu lợi dụng quỹ bảo hiểm y tế (BHYT) một cách có hệ thống xuất phát từ một nhóm người lao động hoặc người tham gia thuộc cùng một đơn vị BHXH cụ thể. </w:t>
      </w:r>
    </w:p>
    <w:p>
      <w:pPr>
        <w:spacing w:after="80" w:before="0"/>
        <w:ind w:left="283"/>
        <w:jc w:val="both"/>
      </w:pPr>
      <w:r>
        <w:rPr>
          <w:rFonts w:ascii="Times New Roman" w:hAnsi="Times New Roman" w:eastAsia="Times New Roman"/>
          <w:b w:val="0"/>
          <w:i w:val="0"/>
          <w:sz w:val="28"/>
        </w:rPr>
        <w:t xml:space="preserve">+ Thiếu dữ liệu đối chiếu quan trọng: Cơ quan BHXH nắm rõ số lượng người tham gia của từng đơn vị BHXH, nhưng lại thiếu công cụ thống kê để trực tiếp đối chiếu số người này với tần suất và chi phí KCB của họ, khiến việc so sánh trở nên thủ công và mất nhiều thời gian. </w:t>
      </w:r>
    </w:p>
    <w:p>
      <w:pPr>
        <w:spacing w:after="40" w:before="0"/>
        <w:ind w:firstLine="720"/>
        <w:jc w:val="both"/>
      </w:pPr>
      <w:r>
        <w:rPr>
          <w:rFonts w:ascii="Times New Roman" w:hAnsi="Times New Roman" w:eastAsia="Times New Roman"/>
          <w:b/>
          <w:i w:val="0"/>
          <w:sz w:val="26"/>
          <w:highlight w:val="yellow"/>
        </w:rPr>
        <w:t>Tổng hợp sáng kiến, đề tài KHCN đã được công nhận (2018 – 2025):</w:t>
      </w:r>
    </w:p>
    <w:p>
      <w:pPr>
        <w:spacing w:after="40" w:before="0"/>
        <w:jc w:val="both"/>
      </w:pPr>
      <w:r>
        <w:rPr>
          <w:rFonts w:ascii="Times New Roman" w:hAnsi="Times New Roman" w:eastAsia="Times New Roman"/>
          <w:b w:val="0"/>
          <w:i/>
          <w:sz w:val="22"/>
          <w:highlight w:val="yellow"/>
        </w:rPr>
        <w:t>(Bảng tổng hợp – bổ sung mới)</w:t>
      </w:r>
    </w:p>
    <w:tbl>
      <w:tblPr>
        <w:tblStyle w:val="TableGrid"/>
        <w:tblW w:type="auto" w:w="0"/>
        <w:tblLook w:firstColumn="1" w:firstRow="1" w:lastColumn="0" w:lastRow="0" w:noHBand="0" w:noVBand="1" w:val="04A0"/>
      </w:tblPr>
      <w:tblGrid>
        <w:gridCol w:w="2268"/>
        <w:gridCol w:w="2268"/>
        <w:gridCol w:w="2268"/>
        <w:gridCol w:w="2268"/>
      </w:tblGrid>
      <w:tr>
        <w:tc>
          <w:tcPr>
            <w:tcW w:type="dxa" w:w="1134"/>
          </w:tcPr>
          <w:p>
            <w:pPr>
              <w:jc w:val="center"/>
            </w:pPr>
            <w:r>
              <w:rPr>
                <w:rFonts w:ascii="Times New Roman" w:hAnsi="Times New Roman" w:eastAsia="Times New Roman"/>
                <w:b/>
                <w:i w:val="0"/>
                <w:sz w:val="22"/>
                <w:highlight w:val="yellow"/>
              </w:rPr>
              <w:t>Năm</w:t>
            </w:r>
          </w:p>
        </w:tc>
        <w:tc>
          <w:tcPr>
            <w:tcW w:type="dxa" w:w="3969"/>
          </w:tcPr>
          <w:p>
            <w:pPr>
              <w:jc w:val="center"/>
            </w:pPr>
            <w:r>
              <w:rPr>
                <w:rFonts w:ascii="Times New Roman" w:hAnsi="Times New Roman" w:eastAsia="Times New Roman"/>
                <w:b/>
                <w:i w:val="0"/>
                <w:sz w:val="22"/>
                <w:highlight w:val="yellow"/>
              </w:rPr>
              <w:t>Sáng kiến / Đề tài KHCN</w:t>
            </w:r>
          </w:p>
        </w:tc>
        <w:tc>
          <w:tcPr>
            <w:tcW w:type="dxa" w:w="1020"/>
          </w:tcPr>
          <w:p>
            <w:pPr>
              <w:jc w:val="center"/>
            </w:pPr>
            <w:r>
              <w:rPr>
                <w:rFonts w:ascii="Times New Roman" w:hAnsi="Times New Roman" w:eastAsia="Times New Roman"/>
                <w:b/>
                <w:i w:val="0"/>
                <w:sz w:val="22"/>
                <w:highlight w:val="yellow"/>
              </w:rPr>
              <w:t>Cấp</w:t>
            </w:r>
          </w:p>
        </w:tc>
        <w:tc>
          <w:tcPr>
            <w:tcW w:type="dxa" w:w="1814"/>
          </w:tcPr>
          <w:p>
            <w:pPr>
              <w:jc w:val="center"/>
            </w:pPr>
            <w:r>
              <w:rPr>
                <w:rFonts w:ascii="Times New Roman" w:hAnsi="Times New Roman" w:eastAsia="Times New Roman"/>
                <w:b/>
                <w:i w:val="0"/>
                <w:sz w:val="22"/>
                <w:highlight w:val="yellow"/>
              </w:rPr>
              <w:t>QĐ công nhận</w:t>
            </w:r>
          </w:p>
        </w:tc>
      </w:tr>
      <w:tr>
        <w:tc>
          <w:tcPr>
            <w:tcW w:type="dxa" w:w="1134"/>
          </w:tcPr>
          <w:p>
            <w:r>
              <w:rPr>
                <w:rFonts w:ascii="Times New Roman" w:hAnsi="Times New Roman" w:eastAsia="Times New Roman"/>
                <w:b w:val="0"/>
                <w:i w:val="0"/>
                <w:sz w:val="22"/>
              </w:rPr>
              <w:t>2018/2019</w:t>
            </w:r>
          </w:p>
        </w:tc>
        <w:tc>
          <w:tcPr>
            <w:tcW w:type="dxa" w:w="3969"/>
          </w:tcPr>
          <w:p>
            <w:pPr>
              <w:jc w:val="center"/>
            </w:pPr>
            <w:r>
              <w:rPr>
                <w:rFonts w:ascii="Times New Roman" w:hAnsi="Times New Roman" w:eastAsia="Times New Roman"/>
                <w:b w:val="0"/>
                <w:i w:val="0"/>
                <w:sz w:val="22"/>
              </w:rPr>
              <w:t>Liên thông quản lý chi KCB BHYT trên các phần mềm nghiệp vụ</w:t>
            </w:r>
          </w:p>
        </w:tc>
        <w:tc>
          <w:tcPr>
            <w:tcW w:type="dxa" w:w="1020"/>
          </w:tcPr>
          <w:p>
            <w:pPr>
              <w:jc w:val="center"/>
            </w:pPr>
            <w:r>
              <w:rPr>
                <w:rFonts w:ascii="Times New Roman" w:hAnsi="Times New Roman" w:eastAsia="Times New Roman"/>
                <w:b w:val="0"/>
                <w:i w:val="0"/>
                <w:sz w:val="22"/>
              </w:rPr>
              <w:t>Ngành</w:t>
            </w:r>
          </w:p>
        </w:tc>
        <w:tc>
          <w:tcPr>
            <w:tcW w:type="dxa" w:w="1814"/>
          </w:tcPr>
          <w:p>
            <w:pPr>
              <w:jc w:val="center"/>
            </w:pPr>
            <w:r>
              <w:rPr>
                <w:rFonts w:ascii="Times New Roman" w:hAnsi="Times New Roman" w:eastAsia="Times New Roman"/>
                <w:b w:val="0"/>
                <w:i w:val="0"/>
                <w:sz w:val="22"/>
              </w:rPr>
              <w:t>QĐ 233/QĐ-BHXH</w:t>
              <w:br/>
              <w:t>26/02/2019</w:t>
            </w:r>
          </w:p>
        </w:tc>
      </w:tr>
      <w:tr>
        <w:tc>
          <w:tcPr>
            <w:tcW w:type="dxa" w:w="1134"/>
          </w:tcPr>
          <w:p>
            <w:r>
              <w:rPr>
                <w:rFonts w:ascii="Times New Roman" w:hAnsi="Times New Roman" w:eastAsia="Times New Roman"/>
                <w:b w:val="0"/>
                <w:i w:val="0"/>
                <w:sz w:val="22"/>
              </w:rPr>
              <w:t>2020</w:t>
            </w:r>
          </w:p>
        </w:tc>
        <w:tc>
          <w:tcPr>
            <w:tcW w:type="dxa" w:w="3969"/>
          </w:tcPr>
          <w:p>
            <w:pPr>
              <w:jc w:val="center"/>
            </w:pPr>
            <w:r>
              <w:rPr>
                <w:rFonts w:ascii="Times New Roman" w:hAnsi="Times New Roman" w:eastAsia="Times New Roman"/>
                <w:b w:val="0"/>
                <w:i w:val="0"/>
                <w:sz w:val="22"/>
              </w:rPr>
              <w:t>Bản đồ theo dõi người mắc bệnh nền hỗ trợ phòng chống Covid-19</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29/QĐ-GĐĐT</w:t>
              <w:br/>
              <w:t>29/12/2020</w:t>
            </w:r>
          </w:p>
        </w:tc>
      </w:tr>
      <w:tr>
        <w:tc>
          <w:tcPr>
            <w:tcW w:type="dxa" w:w="1134"/>
          </w:tcPr>
          <w:p>
            <w:r>
              <w:rPr>
                <w:rFonts w:ascii="Times New Roman" w:hAnsi="Times New Roman" w:eastAsia="Times New Roman"/>
                <w:b w:val="0"/>
                <w:i w:val="0"/>
                <w:sz w:val="22"/>
              </w:rPr>
              <w:t>2021</w:t>
            </w:r>
          </w:p>
        </w:tc>
        <w:tc>
          <w:tcPr>
            <w:tcW w:type="dxa" w:w="3969"/>
          </w:tcPr>
          <w:p>
            <w:pPr>
              <w:jc w:val="center"/>
            </w:pPr>
            <w:r>
              <w:rPr>
                <w:rFonts w:ascii="Times New Roman" w:hAnsi="Times New Roman" w:eastAsia="Times New Roman"/>
                <w:b w:val="0"/>
                <w:i w:val="0"/>
                <w:sz w:val="22"/>
              </w:rPr>
              <w:t>Công cụ xác định quỹ và giám sát chi KCB BHYT theo định suất</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33/QĐ-GĐĐT</w:t>
              <w:br/>
              <w:t>08/11/2021</w:t>
            </w:r>
          </w:p>
        </w:tc>
      </w:tr>
      <w:tr>
        <w:tc>
          <w:tcPr>
            <w:tcW w:type="dxa" w:w="1134"/>
          </w:tcPr>
          <w:p>
            <w:r>
              <w:rPr>
                <w:rFonts w:ascii="Times New Roman" w:hAnsi="Times New Roman" w:eastAsia="Times New Roman"/>
                <w:b w:val="0"/>
                <w:i w:val="0"/>
                <w:sz w:val="22"/>
              </w:rPr>
              <w:t>2022</w:t>
            </w:r>
          </w:p>
        </w:tc>
        <w:tc>
          <w:tcPr>
            <w:tcW w:type="dxa" w:w="3969"/>
          </w:tcPr>
          <w:p>
            <w:pPr>
              <w:jc w:val="center"/>
            </w:pPr>
            <w:r>
              <w:rPr>
                <w:rFonts w:ascii="Times New Roman" w:hAnsi="Times New Roman" w:eastAsia="Times New Roman"/>
                <w:b w:val="0"/>
                <w:i w:val="0"/>
                <w:sz w:val="22"/>
              </w:rPr>
              <w:t>Cấu hình nhóm tỉnh trên phần mềm Giám sát</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27/QĐ-GĐĐT</w:t>
              <w:br/>
              <w:t>09/11/2022</w:t>
            </w:r>
          </w:p>
        </w:tc>
      </w:tr>
      <w:tr>
        <w:tc>
          <w:tcPr>
            <w:tcW w:type="dxa" w:w="1134"/>
          </w:tcPr>
          <w:p>
            <w:r>
              <w:rPr>
                <w:rFonts w:ascii="Times New Roman" w:hAnsi="Times New Roman" w:eastAsia="Times New Roman"/>
                <w:b w:val="0"/>
                <w:i w:val="0"/>
                <w:sz w:val="22"/>
              </w:rPr>
              <w:t>2022</w:t>
            </w:r>
          </w:p>
        </w:tc>
        <w:tc>
          <w:tcPr>
            <w:tcW w:type="dxa" w:w="3969"/>
          </w:tcPr>
          <w:p>
            <w:pPr>
              <w:jc w:val="center"/>
            </w:pPr>
            <w:r>
              <w:rPr>
                <w:rFonts w:ascii="Times New Roman" w:hAnsi="Times New Roman" w:eastAsia="Times New Roman"/>
                <w:b w:val="0"/>
                <w:i w:val="0"/>
                <w:sz w:val="22"/>
              </w:rPr>
              <w:t>Hoàn thiện quy trình giám định BHYT (đồng tác giả)</w:t>
            </w:r>
          </w:p>
        </w:tc>
        <w:tc>
          <w:tcPr>
            <w:tcW w:type="dxa" w:w="1020"/>
          </w:tcPr>
          <w:p>
            <w:pPr>
              <w:jc w:val="center"/>
            </w:pPr>
            <w:r>
              <w:rPr>
                <w:rFonts w:ascii="Times New Roman" w:hAnsi="Times New Roman" w:eastAsia="Times New Roman"/>
                <w:b w:val="0"/>
                <w:i w:val="0"/>
                <w:sz w:val="22"/>
              </w:rPr>
              <w:t>Bộ</w:t>
            </w:r>
          </w:p>
        </w:tc>
        <w:tc>
          <w:tcPr>
            <w:tcW w:type="dxa" w:w="1814"/>
          </w:tcPr>
          <w:p>
            <w:pPr>
              <w:jc w:val="center"/>
            </w:pPr>
            <w:r>
              <w:rPr>
                <w:rFonts w:ascii="Times New Roman" w:hAnsi="Times New Roman" w:eastAsia="Times New Roman"/>
                <w:b w:val="0"/>
                <w:i w:val="0"/>
                <w:sz w:val="22"/>
              </w:rPr>
              <w:t>QĐ 1104/QĐ-BHXH</w:t>
              <w:br/>
              <w:t>22/4/2022</w:t>
            </w:r>
          </w:p>
        </w:tc>
      </w:tr>
      <w:tr>
        <w:tc>
          <w:tcPr>
            <w:tcW w:type="dxa" w:w="1134"/>
          </w:tcPr>
          <w:p>
            <w:r>
              <w:rPr>
                <w:rFonts w:ascii="Times New Roman" w:hAnsi="Times New Roman" w:eastAsia="Times New Roman"/>
                <w:b w:val="0"/>
                <w:i w:val="0"/>
                <w:sz w:val="22"/>
              </w:rPr>
              <w:t>2023</w:t>
            </w:r>
          </w:p>
        </w:tc>
        <w:tc>
          <w:tcPr>
            <w:tcW w:type="dxa" w:w="3969"/>
          </w:tcPr>
          <w:p>
            <w:pPr>
              <w:jc w:val="center"/>
            </w:pPr>
            <w:r>
              <w:rPr>
                <w:rFonts w:ascii="Times New Roman" w:hAnsi="Times New Roman" w:eastAsia="Times New Roman"/>
                <w:b w:val="0"/>
                <w:i w:val="0"/>
                <w:sz w:val="22"/>
              </w:rPr>
              <w:t>Công cụ lập báo cáo quyết toán đảm bảo tiến độ</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20/QĐ-GĐĐT</w:t>
              <w:br/>
              <w:t>03/11/2023</w:t>
            </w:r>
          </w:p>
        </w:tc>
      </w:tr>
      <w:tr>
        <w:tc>
          <w:tcPr>
            <w:tcW w:type="dxa" w:w="1134"/>
          </w:tcPr>
          <w:p>
            <w:r>
              <w:rPr>
                <w:rFonts w:ascii="Times New Roman" w:hAnsi="Times New Roman" w:eastAsia="Times New Roman"/>
                <w:b w:val="0"/>
                <w:i w:val="0"/>
                <w:sz w:val="22"/>
              </w:rPr>
              <w:t>2024</w:t>
            </w:r>
          </w:p>
        </w:tc>
        <w:tc>
          <w:tcPr>
            <w:tcW w:type="dxa" w:w="3969"/>
          </w:tcPr>
          <w:p>
            <w:pPr>
              <w:jc w:val="center"/>
            </w:pPr>
            <w:r>
              <w:rPr>
                <w:rFonts w:ascii="Times New Roman" w:hAnsi="Times New Roman" w:eastAsia="Times New Roman"/>
                <w:b w:val="0"/>
                <w:i w:val="0"/>
                <w:sz w:val="22"/>
              </w:rPr>
              <w:t>Cảnh báo gia tăng chi phí KCB theo Nghị định 75/2023/NĐ-CP</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24/QĐ-GĐĐT</w:t>
              <w:br/>
              <w:t>29/10/2024</w:t>
            </w:r>
          </w:p>
        </w:tc>
      </w:tr>
      <w:tr>
        <w:tc>
          <w:tcPr>
            <w:tcW w:type="dxa" w:w="1134"/>
          </w:tcPr>
          <w:p>
            <w:r>
              <w:rPr>
                <w:rFonts w:ascii="Times New Roman" w:hAnsi="Times New Roman" w:eastAsia="Times New Roman"/>
                <w:b w:val="0"/>
                <w:i w:val="0"/>
                <w:sz w:val="22"/>
              </w:rPr>
              <w:t>2023–2025</w:t>
            </w:r>
          </w:p>
        </w:tc>
        <w:tc>
          <w:tcPr>
            <w:tcW w:type="dxa" w:w="3969"/>
          </w:tcPr>
          <w:p>
            <w:pPr>
              <w:jc w:val="center"/>
            </w:pPr>
            <w:r>
              <w:rPr>
                <w:rFonts w:ascii="Times New Roman" w:hAnsi="Times New Roman" w:eastAsia="Times New Roman"/>
                <w:b w:val="0"/>
                <w:i w:val="0"/>
                <w:sz w:val="22"/>
              </w:rPr>
              <w:t>AI-OCR trong giám định BHYT – Chủ nhiệm đề tài KHCN cơ sở</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12/QĐ-BHXH</w:t>
              <w:br/>
              <w:t>08/01/2025</w:t>
            </w:r>
          </w:p>
        </w:tc>
      </w:tr>
      <w:tr>
        <w:tc>
          <w:tcPr>
            <w:tcW w:type="dxa" w:w="1134"/>
          </w:tcPr>
          <w:p>
            <w:r>
              <w:rPr>
                <w:rFonts w:ascii="Times New Roman" w:hAnsi="Times New Roman" w:eastAsia="Times New Roman"/>
                <w:b w:val="0"/>
                <w:i w:val="0"/>
                <w:sz w:val="22"/>
              </w:rPr>
              <w:t>2025</w:t>
            </w:r>
          </w:p>
        </w:tc>
        <w:tc>
          <w:tcPr>
            <w:tcW w:type="dxa" w:w="3969"/>
          </w:tcPr>
          <w:p>
            <w:pPr>
              <w:jc w:val="center"/>
            </w:pPr>
            <w:r>
              <w:rPr>
                <w:rFonts w:ascii="Times New Roman" w:hAnsi="Times New Roman" w:eastAsia="Times New Roman"/>
                <w:b w:val="0"/>
                <w:i w:val="0"/>
                <w:sz w:val="22"/>
              </w:rPr>
              <w:t>Công cụ công bố thuốc, TTBYT chưa sử dụng hết theo kết quả trúng thầu</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04/QĐ-TTKS</w:t>
              <w:br/>
              <w:t>04/02/2026</w:t>
            </w:r>
          </w:p>
        </w:tc>
      </w:tr>
      <w:tr>
        <w:tc>
          <w:tcPr>
            <w:tcW w:type="dxa" w:w="1134"/>
          </w:tcPr>
          <w:p>
            <w:r>
              <w:rPr>
                <w:rFonts w:ascii="Times New Roman" w:hAnsi="Times New Roman" w:eastAsia="Times New Roman"/>
                <w:b w:val="0"/>
                <w:i w:val="0"/>
                <w:sz w:val="22"/>
              </w:rPr>
              <w:t>2025</w:t>
            </w:r>
          </w:p>
        </w:tc>
        <w:tc>
          <w:tcPr>
            <w:tcW w:type="dxa" w:w="3969"/>
          </w:tcPr>
          <w:p>
            <w:pPr>
              <w:jc w:val="center"/>
            </w:pPr>
            <w:r>
              <w:rPr>
                <w:rFonts w:ascii="Times New Roman" w:hAnsi="Times New Roman" w:eastAsia="Times New Roman"/>
                <w:b w:val="0"/>
                <w:i w:val="0"/>
                <w:sz w:val="22"/>
              </w:rPr>
              <w:t>Chức năng thống kê KCB theo đơn vị tham gia BHXH trên PM Giám sát</w:t>
            </w:r>
          </w:p>
        </w:tc>
        <w:tc>
          <w:tcPr>
            <w:tcW w:type="dxa" w:w="1020"/>
          </w:tcPr>
          <w:p>
            <w:pPr>
              <w:jc w:val="center"/>
            </w:pPr>
            <w:r>
              <w:rPr>
                <w:rFonts w:ascii="Times New Roman" w:hAnsi="Times New Roman" w:eastAsia="Times New Roman"/>
                <w:b w:val="0"/>
                <w:i w:val="0"/>
                <w:sz w:val="22"/>
              </w:rPr>
              <w:t>Cơ sở</w:t>
            </w:r>
          </w:p>
        </w:tc>
        <w:tc>
          <w:tcPr>
            <w:tcW w:type="dxa" w:w="1814"/>
          </w:tcPr>
          <w:p>
            <w:pPr>
              <w:jc w:val="center"/>
            </w:pPr>
            <w:r>
              <w:rPr>
                <w:rFonts w:ascii="Times New Roman" w:hAnsi="Times New Roman" w:eastAsia="Times New Roman"/>
                <w:b w:val="0"/>
                <w:i w:val="0"/>
                <w:sz w:val="22"/>
              </w:rPr>
              <w:t>QĐ 04/QĐ-TTKS</w:t>
              <w:br/>
              <w:t>04/02/2026</w:t>
            </w:r>
          </w:p>
        </w:tc>
      </w:tr>
    </w:tbl>
    <w:p>
      <w:pPr>
        <w:spacing w:after="40" w:before="0"/>
        <w:jc w:val="both"/>
      </w:pPr>
      <w:r>
        <w:rPr>
          <w:rFonts w:ascii="Times New Roman" w:hAnsi="Times New Roman" w:eastAsia="Times New Roman"/>
          <w:b w:val="0"/>
          <w:i w:val="0"/>
          <w:sz w:val="26"/>
        </w:rPr>
      </w:r>
    </w:p>
    <w:p>
      <w:pPr>
        <w:spacing w:after="80" w:before="0"/>
        <w:ind w:firstLine="720"/>
        <w:jc w:val="both"/>
      </w:pPr>
      <w:r>
        <w:rPr>
          <w:rFonts w:ascii="Times New Roman" w:hAnsi="Times New Roman" w:eastAsia="Times New Roman"/>
          <w:b w:val="0"/>
          <w:i w:val="0"/>
          <w:sz w:val="26"/>
          <w:highlight w:val="yellow"/>
        </w:rPr>
        <w:t>Tổng cộng: 10 sáng kiến/đề tài KHCN được công nhận (01 cấp Ngành, 01 cấp Bộ, 08 cấp cơ sở), phản ánh quá trình nghiên cứu, sáng tạo liên tục và ứng dụng thực tiễn cao trong giai đoạn 2018–2026.</w:t>
      </w:r>
    </w:p>
    <w:p>
      <w:pPr>
        <w:spacing w:after="80" w:before="0"/>
        <w:ind w:left="283"/>
        <w:jc w:val="both"/>
      </w:pPr>
      <w:r>
        <w:rPr>
          <w:rFonts w:ascii="Times New Roman" w:hAnsi="Times New Roman" w:eastAsia="Times New Roman"/>
          <w:b w:val="0"/>
          <w:i w:val="0"/>
          <w:sz w:val="28"/>
        </w:rPr>
        <w:t>- Mục đích của sáng kiến: xây dựng chức năng trên Phần mềm Giám sát thống kê tình hình KCB theo đơn vị tham gia BHXH.</w:t>
      </w:r>
    </w:p>
    <w:p>
      <w:pPr>
        <w:spacing w:after="80" w:before="0"/>
        <w:ind w:firstLine="720"/>
        <w:jc w:val="both"/>
      </w:pPr>
      <w:r>
        <w:rPr>
          <w:rFonts w:ascii="Times New Roman" w:hAnsi="Times New Roman" w:eastAsia="Times New Roman"/>
          <w:b/>
          <w:i w:val="0"/>
          <w:sz w:val="28"/>
        </w:rPr>
        <w:t>d) Việc thực hiện chủ trương, đường lối của Đảng, chính sách, pháp luật của Nhà nước, nội quy, quy định của cơ quan, đánh giá và xếp loại đảng viên</w:t>
      </w:r>
    </w:p>
    <w:p>
      <w:pPr>
        <w:spacing w:after="80" w:before="0"/>
        <w:ind w:firstLine="720"/>
        <w:jc w:val="both"/>
      </w:pPr>
      <w:r>
        <w:rPr>
          <w:rFonts w:ascii="Times New Roman" w:hAnsi="Times New Roman" w:eastAsia="Times New Roman"/>
          <w:b w:val="0"/>
          <w:i w:val="0"/>
          <w:sz w:val="28"/>
        </w:rPr>
        <w:t>Tôi và người thân trong gia định luôn có lập trường tư tưởng chính trị vững vàng; kiên định với mục tiêu lý tưởng của Đảng; không dao động trước mọi khó khăn, thách thức; trung thành với lợi ích của quốc gia, dân tộc; nghiêm túc chấp hành, kịp thời thể chế hóa, quyết liệt triển khai thực hiện chủ trương, nghị quyết của Đảng và Nhà nước, các quy định, chỉ đạo, hướng dẫn của ngành; không cục bộ, bè phái, lợi ích riêng cho bản thân.</w:t>
      </w:r>
    </w:p>
    <w:p>
      <w:pPr>
        <w:spacing w:after="80" w:before="0"/>
        <w:ind w:firstLine="720"/>
        <w:jc w:val="both"/>
      </w:pPr>
      <w:r>
        <w:rPr>
          <w:rFonts w:ascii="Times New Roman" w:hAnsi="Times New Roman" w:eastAsia="Times New Roman"/>
          <w:b w:val="0"/>
          <w:i w:val="0"/>
          <w:sz w:val="28"/>
        </w:rPr>
        <w:t>Ý thức tổ chức kỷ luật, chấp hành ý kiến chỉ đạo của cấp trên: luôn tự giác, gương mẫu, nêu cao ý thức tổ chức kỷ luật, chấp hành nghiêm chỉnh các quy định của Đảng, pháp luật của Nhà nước; chấp hành các nội quy, quy chế của cơ quan và của đơn vị; thực hiện nghiêm túc ý kiến chỉ đạo và công việc chuyên môn được lãnh đao Ngành giao.</w:t>
      </w:r>
    </w:p>
    <w:p>
      <w:pPr>
        <w:spacing w:after="80" w:before="0"/>
        <w:ind w:firstLine="720"/>
        <w:jc w:val="both"/>
      </w:pPr>
      <w:r>
        <w:rPr>
          <w:rFonts w:ascii="Times New Roman" w:hAnsi="Times New Roman" w:eastAsia="Times New Roman"/>
          <w:b w:val="0"/>
          <w:i w:val="0"/>
          <w:sz w:val="28"/>
        </w:rPr>
        <w:t>Kết quả xếp loại đảng viên hằng năm</w:t>
      </w:r>
    </w:p>
    <w:p>
      <w:pPr>
        <w:spacing w:after="80" w:before="0"/>
        <w:ind w:firstLine="720"/>
        <w:jc w:val="both"/>
      </w:pPr>
      <w:r>
        <w:rPr>
          <w:rFonts w:ascii="Times New Roman" w:hAnsi="Times New Roman" w:eastAsia="Times New Roman"/>
          <w:b/>
          <w:i w:val="0"/>
          <w:sz w:val="28"/>
        </w:rPr>
        <w:t>đ) Công tác bồi dưỡng, học tập nâng cao trình độ chuyên môn, phẩm chất đạo đức; chăm lo đời sống công chức, viên chức.</w:t>
      </w:r>
    </w:p>
    <w:p>
      <w:pPr>
        <w:spacing w:after="80" w:before="0"/>
        <w:ind w:firstLine="720"/>
        <w:jc w:val="both"/>
      </w:pPr>
      <w:r>
        <w:rPr>
          <w:rFonts w:ascii="Times New Roman" w:hAnsi="Times New Roman" w:eastAsia="Times New Roman"/>
          <w:b w:val="0"/>
          <w:i w:val="0"/>
          <w:sz w:val="28"/>
        </w:rPr>
        <w:t>Thường xuyên học tập và làm theo tấm gương đạo đức Hồ Chí Minh; thường xuyên rèn luyện, tu dưỡng phẩm chất đạo đức cách mạng. Luôn thực hiện viết, nói và làm theo đúng nguyên tắc, quan điểm, đường lối và nghị quyết của đảng. Chủ động nghiên cứu, khai thác các thông tin, tài liệu, cập nhật kịp thời các chế độ, chính sách, tích cực nghiên cứu, ứng dụng công nghệ thông tin trong lĩnh vực công tác thuộc chức năng nhiệm vụ của Trung tâm.</w:t>
      </w:r>
    </w:p>
    <w:p>
      <w:pPr>
        <w:spacing w:after="80" w:before="0"/>
        <w:ind w:firstLine="720"/>
        <w:jc w:val="both"/>
      </w:pPr>
      <w:r>
        <w:rPr>
          <w:rFonts w:ascii="Times New Roman" w:hAnsi="Times New Roman" w:eastAsia="Times New Roman"/>
          <w:b w:val="0"/>
          <w:i w:val="0"/>
          <w:sz w:val="28"/>
        </w:rPr>
        <w:t>Có lối sống trong sạch, lành mạnh, giản dị, trung thực, thẳng thắn. Có quan điểm rõ ràng và biện pháp phù hợp trong công tác đấu tranh tự phê bình và phê bình, thể hiện rõ khi trao đổi, thảo luận và khi phát biểu tại cuộc họp.</w:t>
      </w:r>
    </w:p>
    <w:p>
      <w:pPr>
        <w:spacing w:after="80" w:before="0"/>
        <w:ind w:firstLine="720"/>
        <w:jc w:val="both"/>
      </w:pPr>
      <w:r>
        <w:rPr>
          <w:rFonts w:ascii="Times New Roman" w:hAnsi="Times New Roman" w:eastAsia="Times New Roman"/>
          <w:b w:val="0"/>
          <w:i w:val="0"/>
          <w:sz w:val="28"/>
        </w:rPr>
        <w:t>Tập hợp được cán bộ, công chức trong đơn vị đoàn kết, tạo điều kiện để các cán bộ, đảng viên trong đơn vị học tập nâng cao trình độ chuyên môn nghiệp vụ nhằm đáp ứng yêu cầu nhiệm vụ được giao. Giải quyết chế độ, chính sách đối với công chức, viên chức, người lao động trong đơn vị được kịp thời, đúng quy định.</w:t>
      </w:r>
    </w:p>
    <w:p>
      <w:pPr>
        <w:spacing w:after="80" w:before="0"/>
        <w:ind w:firstLine="720"/>
        <w:jc w:val="both"/>
      </w:pPr>
      <w:r>
        <w:rPr>
          <w:rFonts w:ascii="Times New Roman" w:hAnsi="Times New Roman" w:eastAsia="Times New Roman"/>
          <w:b/>
          <w:i w:val="0"/>
          <w:sz w:val="28"/>
        </w:rPr>
        <w:t>e) Vai trò của cá nhân trong công tác xây dựng Đảng, đoàn thể; công tác tham gia các hoạt động xã hội, từ thiện</w:t>
      </w:r>
    </w:p>
    <w:p>
      <w:pPr>
        <w:spacing w:after="80" w:before="0"/>
        <w:ind w:firstLine="720"/>
        <w:jc w:val="both"/>
      </w:pPr>
      <w:r>
        <w:rPr>
          <w:rFonts w:ascii="Times New Roman" w:hAnsi="Times New Roman" w:eastAsia="Times New Roman"/>
          <w:b w:val="0"/>
          <w:i w:val="0"/>
          <w:sz w:val="28"/>
        </w:rPr>
        <w:t>Trên cương vị là Ủy viên Ban chấp hành công đoàn BHXH Việt Nam, Chủ tịch Công đoàn Trung tâm Giám định BHYT và Thanh toán đa tuyến, cá nhân tôi luôn nỗ lực, trách nhiệm thực hiện, triển khai các chương trình, kế hoạch của đoàn cấp trên, luôn quan tâm, bảo vệ quyền lợi của đoàn viên và tích cực tham gia, triển khai các chương trình thiện nguyện riêng của cá nhân, của Trung tâm và của Công đoàn cấp trên phát động. Với những nỗ lực trên, hằng năm Công đoàn Trung tâm đều đạt danh hiệu Công đoàn cở sở Vững mạnh, cá nhân tôi cũng vinh dự được nhận Bằng khen của Công đoàn viên chức thành phố Hà Nội năm 2015, Công đoàn viên chức Việt Nam năm 2021.</w:t>
      </w:r>
    </w:p>
    <w:p>
      <w:pPr>
        <w:spacing w:after="80" w:before="0"/>
        <w:ind w:firstLine="709"/>
        <w:jc w:val="both"/>
      </w:pPr>
      <w:r>
        <w:rPr>
          <w:rFonts w:ascii="Times New Roman" w:hAnsi="Times New Roman" w:eastAsia="Times New Roman"/>
          <w:b/>
          <w:i w:val="0"/>
          <w:sz w:val="28"/>
        </w:rPr>
        <w:t>III. DANH HIỆU THI ĐUA, HÌNH THỨC KHEN THƯỞNG ĐÃ ĐƯỢC NHẬN</w:t>
      </w:r>
    </w:p>
    <w:p>
      <w:pPr>
        <w:spacing w:after="80" w:before="0"/>
        <w:ind w:firstLine="709"/>
        <w:jc w:val="both"/>
      </w:pPr>
      <w:r>
        <w:rPr>
          <w:rFonts w:ascii="Times New Roman" w:hAnsi="Times New Roman" w:eastAsia="Times New Roman"/>
          <w:b/>
          <w:i w:val="0"/>
          <w:sz w:val="28"/>
        </w:rPr>
        <w:t>1. Mức độ hoàn thành nhiệm vụ</w:t>
      </w:r>
    </w:p>
    <w:p>
      <w:pPr>
        <w:spacing w:after="80" w:before="0"/>
        <w:ind w:firstLine="720"/>
        <w:jc w:val="both"/>
      </w:pPr>
      <w:r>
        <w:rPr>
          <w:rFonts w:ascii="Times New Roman" w:hAnsi="Times New Roman" w:eastAsia="Times New Roman"/>
          <w:b/>
          <w:i w:val="0"/>
          <w:sz w:val="28"/>
        </w:rPr>
        <w:t>2. Danh hiệu thi đua</w:t>
      </w:r>
    </w:p>
    <w:p>
      <w:pPr>
        <w:spacing w:after="80" w:before="0"/>
        <w:ind w:firstLine="720"/>
        <w:jc w:val="both"/>
      </w:pPr>
      <w:r>
        <w:rPr>
          <w:rFonts w:ascii="Times New Roman" w:hAnsi="Times New Roman" w:eastAsia="Times New Roman"/>
          <w:b/>
          <w:i w:val="0"/>
          <w:sz w:val="28"/>
        </w:rPr>
        <w:t>3. Hình thức khen thưởng</w:t>
      </w:r>
    </w:p>
    <w:p>
      <w:pPr>
        <w:spacing w:after="40" w:before="0"/>
        <w:jc w:val="both"/>
      </w:pPr>
      <w:r>
        <w:rPr>
          <w:rFonts w:ascii="Times New Roman" w:hAnsi="Times New Roman" w:eastAsia="Times New Roman"/>
          <w:b w:val="0"/>
          <w:i w:val="0"/>
          <w:sz w:val="26"/>
        </w:rPr>
      </w:r>
    </w:p>
    <w:p>
      <w:pPr>
        <w:spacing w:after="80" w:before="0"/>
        <w:jc w:val="center"/>
      </w:pPr>
      <w:r>
        <w:rPr>
          <w:rFonts w:ascii="Times New Roman" w:hAnsi="Times New Roman" w:eastAsia="Times New Roman"/>
          <w:b/>
          <w:i w:val="0"/>
          <w:sz w:val="28"/>
        </w:rPr>
        <w:t>XÁC NHẬN CỦA BẢO HIỂM XÃ HỘI VIỆT NAM</w:t>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40" w:before="0"/>
        <w:jc w:val="both"/>
      </w:pPr>
      <w:r>
        <w:rPr>
          <w:rFonts w:ascii="Times New Roman" w:hAnsi="Times New Roman" w:eastAsia="Times New Roman"/>
          <w:b w:val="0"/>
          <w:i w:val="0"/>
          <w:sz w:val="26"/>
        </w:rPr>
      </w:r>
    </w:p>
    <w:p>
      <w:pPr>
        <w:spacing w:after="80" w:before="0"/>
        <w:jc w:val="center"/>
      </w:pPr>
      <w:r>
        <w:rPr>
          <w:rFonts w:ascii="Times New Roman" w:hAnsi="Times New Roman" w:eastAsia="Times New Roman"/>
          <w:b/>
          <w:i w:val="0"/>
          <w:sz w:val="28"/>
        </w:rPr>
        <w:t>XÁC NHẬN CỦA CẤP TRÌNH KHEN THƯỞNG</w:t>
      </w:r>
    </w:p>
    <w:p>
      <w:pPr>
        <w:spacing w:after="40" w:before="0"/>
        <w:jc w:val="both"/>
      </w:pPr>
      <w:r>
        <w:rPr>
          <w:rFonts w:ascii="Times New Roman" w:hAnsi="Times New Roman" w:eastAsia="Times New Roman"/>
          <w:b w:val="0"/>
          <w:i w:val="0"/>
          <w:sz w:val="26"/>
        </w:rPr>
      </w:r>
    </w:p>
    <w:p>
      <w:pPr>
        <w:spacing w:after="40" w:before="0"/>
        <w:jc w:val="center"/>
      </w:pPr>
      <w:r>
        <w:rPr>
          <w:rFonts w:ascii="Times New Roman" w:hAnsi="Times New Roman" w:eastAsia="Times New Roman"/>
          <w:b w:val="0"/>
          <w:i w:val="0"/>
          <w:sz w:val="20"/>
        </w:rPr>
        <w:t>────────────────────────────────────────────────────────────</w:t>
      </w:r>
    </w:p>
    <w:p>
      <w:pPr>
        <w:spacing w:after="40" w:before="0"/>
        <w:jc w:val="center"/>
      </w:pPr>
      <w:r>
        <w:rPr>
          <w:rFonts w:ascii="Times New Roman" w:hAnsi="Times New Roman" w:eastAsia="Times New Roman"/>
          <w:b/>
          <w:i w:val="0"/>
          <w:sz w:val="22"/>
        </w:rPr>
        <w:t xml:space="preserve">CHÚ THÍCH MÀU SẮC: </w:t>
      </w:r>
      <w:r>
        <w:rPr>
          <w:rFonts w:ascii="Times New Roman" w:hAnsi="Times New Roman" w:eastAsia="Times New Roman"/>
          <w:b w:val="0"/>
          <w:i w:val="0"/>
          <w:color w:val="C00000"/>
          <w:sz w:val="22"/>
        </w:rPr>
        <w:t>Chữ đỏ</w:t>
      </w:r>
      <w:r>
        <w:rPr>
          <w:rFonts w:ascii="Times New Roman" w:hAnsi="Times New Roman" w:eastAsia="Times New Roman"/>
          <w:b w:val="0"/>
          <w:i w:val="0"/>
          <w:sz w:val="22"/>
        </w:rPr>
        <w:t xml:space="preserve"> = điều chỉnh nội dung | </w:t>
      </w:r>
      <w:r>
        <w:rPr>
          <w:rFonts w:ascii="Times New Roman" w:hAnsi="Times New Roman" w:eastAsia="Times New Roman"/>
          <w:b w:val="0"/>
          <w:i w:val="0"/>
          <w:sz w:val="22"/>
          <w:highlight w:val="yellow"/>
        </w:rPr>
        <w:t>Nền vàng</w:t>
      </w:r>
      <w:r>
        <w:rPr>
          <w:rFonts w:ascii="Times New Roman" w:hAnsi="Times New Roman" w:eastAsia="Times New Roman"/>
          <w:b w:val="0"/>
          <w:i w:val="0"/>
          <w:sz w:val="22"/>
        </w:rPr>
        <w:t xml:space="preserve"> = bổ sung mới | </w:t>
      </w:r>
      <w:r>
        <w:rPr>
          <w:rFonts w:ascii="Times New Roman" w:hAnsi="Times New Roman" w:eastAsia="Times New Roman"/>
          <w:b w:val="0"/>
          <w:i w:val="0"/>
          <w:strike/>
          <w:color w:val="1F497D"/>
          <w:sz w:val="22"/>
        </w:rPr>
        <w:t>Chữ xanh gạch ngang</w:t>
      </w:r>
      <w:r>
        <w:rPr>
          <w:rFonts w:ascii="Times New Roman" w:hAnsi="Times New Roman" w:eastAsia="Times New Roman"/>
          <w:b w:val="0"/>
          <w:i w:val="0"/>
          <w:sz w:val="22"/>
        </w:rPr>
        <w:t xml:space="preserve"> = đề xuất xóa/chuyển mục</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