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4F9C7" w14:textId="77777777" w:rsidR="005B2657" w:rsidRPr="006837E2" w:rsidRDefault="005B2657" w:rsidP="005B2657">
      <w:pPr>
        <w:snapToGrid w:val="0"/>
        <w:rPr>
          <w:rFonts w:eastAsia="標楷體" w:hAnsi="標楷體"/>
          <w:b/>
          <w:bCs/>
          <w:sz w:val="28"/>
          <w:szCs w:val="28"/>
        </w:rPr>
      </w:pPr>
      <w:r w:rsidRPr="006837E2">
        <w:rPr>
          <w:rFonts w:eastAsia="標楷體" w:hint="eastAsia"/>
          <w:b/>
          <w:bCs/>
          <w:color w:val="000000"/>
          <w:sz w:val="28"/>
          <w:szCs w:val="28"/>
          <w:u w:val="single"/>
        </w:rPr>
        <w:t>高溫型燃料電池</w:t>
      </w:r>
    </w:p>
    <w:p w14:paraId="69BF07BB" w14:textId="77777777" w:rsidR="005B2657" w:rsidRPr="00840683" w:rsidRDefault="005B2657" w:rsidP="005B2657">
      <w:pPr>
        <w:numPr>
          <w:ilvl w:val="0"/>
          <w:numId w:val="2"/>
        </w:numPr>
        <w:snapToGrid w:val="0"/>
        <w:spacing w:beforeLines="50" w:before="180"/>
        <w:ind w:left="357" w:hanging="357"/>
        <w:rPr>
          <w:rFonts w:eastAsia="標楷體" w:hAnsi="標楷體"/>
          <w:b/>
          <w:bCs/>
          <w:sz w:val="28"/>
          <w:szCs w:val="28"/>
        </w:rPr>
      </w:pPr>
      <w:bookmarkStart w:id="0" w:name="_Hlk179996961"/>
      <w:r w:rsidRPr="006837E2">
        <w:rPr>
          <w:rFonts w:eastAsia="標楷體" w:hAnsi="標楷體" w:hint="eastAsia"/>
          <w:b/>
          <w:bCs/>
          <w:sz w:val="28"/>
          <w:szCs w:val="28"/>
        </w:rPr>
        <w:t>高</w:t>
      </w:r>
      <w:r w:rsidRPr="006837E2">
        <w:rPr>
          <w:rFonts w:eastAsia="標楷體" w:hAnsi="標楷體"/>
          <w:b/>
          <w:bCs/>
          <w:sz w:val="28"/>
          <w:szCs w:val="28"/>
        </w:rPr>
        <w:t>溫燃料電池</w:t>
      </w:r>
      <w:bookmarkEnd w:id="0"/>
      <w:r w:rsidRPr="006837E2">
        <w:rPr>
          <w:rFonts w:eastAsia="標楷體" w:hAnsi="標楷體" w:hint="eastAsia"/>
          <w:b/>
          <w:bCs/>
          <w:sz w:val="28"/>
          <w:szCs w:val="28"/>
        </w:rPr>
        <w:t>(</w:t>
      </w:r>
      <w:r w:rsidRPr="006837E2">
        <w:rPr>
          <w:rFonts w:eastAsia="標楷體" w:hAnsi="標楷體" w:hint="eastAsia"/>
          <w:b/>
          <w:bCs/>
          <w:sz w:val="28"/>
          <w:szCs w:val="28"/>
        </w:rPr>
        <w:t>如</w:t>
      </w:r>
      <w:r w:rsidRPr="006837E2">
        <w:rPr>
          <w:rFonts w:eastAsia="標楷體" w:hAnsi="標楷體"/>
          <w:b/>
          <w:bCs/>
          <w:sz w:val="28"/>
          <w:szCs w:val="28"/>
        </w:rPr>
        <w:t>固態氧化物燃料電池</w:t>
      </w:r>
      <w:r w:rsidRPr="006837E2">
        <w:rPr>
          <w:rFonts w:eastAsia="標楷體" w:hAnsi="標楷體" w:hint="eastAsia"/>
          <w:b/>
          <w:bCs/>
          <w:sz w:val="28"/>
          <w:szCs w:val="28"/>
        </w:rPr>
        <w:t>與熔融碳酸鹽</w:t>
      </w:r>
      <w:r w:rsidRPr="006837E2">
        <w:rPr>
          <w:rFonts w:eastAsia="標楷體" w:hAnsi="標楷體"/>
          <w:b/>
          <w:bCs/>
          <w:sz w:val="28"/>
          <w:szCs w:val="28"/>
        </w:rPr>
        <w:t>燃料電池</w:t>
      </w:r>
      <w:r w:rsidRPr="006837E2">
        <w:rPr>
          <w:rFonts w:eastAsia="標楷體" w:hAnsi="標楷體" w:hint="eastAsia"/>
          <w:b/>
          <w:bCs/>
          <w:sz w:val="28"/>
          <w:szCs w:val="28"/>
        </w:rPr>
        <w:t>)</w:t>
      </w:r>
      <w:r w:rsidRPr="006837E2">
        <w:rPr>
          <w:rFonts w:eastAsia="標楷體" w:hAnsi="標楷體" w:hint="eastAsia"/>
          <w:b/>
          <w:bCs/>
          <w:sz w:val="28"/>
          <w:szCs w:val="28"/>
        </w:rPr>
        <w:t>與</w:t>
      </w:r>
      <w:bookmarkStart w:id="1" w:name="_Hlk179997040"/>
      <w:r w:rsidRPr="006837E2">
        <w:rPr>
          <w:rFonts w:eastAsia="標楷體" w:hAnsi="標楷體" w:hint="eastAsia"/>
          <w:b/>
          <w:bCs/>
          <w:sz w:val="28"/>
          <w:szCs w:val="28"/>
        </w:rPr>
        <w:t>低溫燃料電池</w:t>
      </w:r>
      <w:bookmarkEnd w:id="1"/>
      <w:r w:rsidRPr="006837E2">
        <w:rPr>
          <w:rFonts w:eastAsia="標楷體" w:hAnsi="標楷體"/>
          <w:b/>
          <w:bCs/>
          <w:sz w:val="28"/>
          <w:szCs w:val="28"/>
        </w:rPr>
        <w:t>之</w:t>
      </w:r>
      <w:r w:rsidRPr="006837E2">
        <w:rPr>
          <w:rFonts w:eastAsia="標楷體" w:hAnsi="標楷體" w:hint="eastAsia"/>
          <w:b/>
          <w:bCs/>
          <w:sz w:val="28"/>
          <w:szCs w:val="28"/>
        </w:rPr>
        <w:t>重大差異</w:t>
      </w:r>
      <w:r w:rsidRPr="006837E2">
        <w:rPr>
          <w:rFonts w:eastAsia="標楷體" w:hAnsi="標楷體" w:hint="eastAsia"/>
          <w:b/>
          <w:bCs/>
          <w:sz w:val="28"/>
          <w:szCs w:val="28"/>
        </w:rPr>
        <w:t>(</w:t>
      </w:r>
      <w:r w:rsidRPr="006837E2">
        <w:rPr>
          <w:rFonts w:eastAsia="標楷體" w:hAnsi="標楷體" w:hint="eastAsia"/>
          <w:b/>
          <w:bCs/>
          <w:sz w:val="28"/>
          <w:szCs w:val="28"/>
        </w:rPr>
        <w:t>除了操作溫度之外</w:t>
      </w:r>
      <w:r w:rsidRPr="006837E2">
        <w:rPr>
          <w:rFonts w:eastAsia="標楷體" w:hAnsi="標楷體" w:hint="eastAsia"/>
          <w:b/>
          <w:bCs/>
          <w:sz w:val="28"/>
          <w:szCs w:val="28"/>
        </w:rPr>
        <w:t>)</w:t>
      </w:r>
      <w:r w:rsidRPr="006837E2">
        <w:rPr>
          <w:rFonts w:eastAsia="標楷體" w:hAnsi="標楷體" w:hint="eastAsia"/>
          <w:b/>
          <w:bCs/>
          <w:sz w:val="28"/>
          <w:szCs w:val="28"/>
        </w:rPr>
        <w:t>為何</w:t>
      </w:r>
      <w:r w:rsidRPr="006837E2">
        <w:rPr>
          <w:rFonts w:eastAsia="標楷體" w:hAnsi="標楷體" w:hint="eastAsia"/>
          <w:b/>
          <w:bCs/>
          <w:sz w:val="28"/>
          <w:szCs w:val="28"/>
        </w:rPr>
        <w:t xml:space="preserve">? </w:t>
      </w:r>
      <w:r w:rsidRPr="006837E2">
        <w:rPr>
          <w:rFonts w:eastAsia="標楷體"/>
          <w:b/>
          <w:bCs/>
          <w:sz w:val="28"/>
          <w:szCs w:val="28"/>
        </w:rPr>
        <w:t>(</w:t>
      </w:r>
      <w:r w:rsidRPr="006837E2">
        <w:rPr>
          <w:rFonts w:eastAsia="標楷體" w:hint="eastAsia"/>
          <w:b/>
          <w:bCs/>
          <w:sz w:val="28"/>
          <w:szCs w:val="28"/>
        </w:rPr>
        <w:t>8</w:t>
      </w:r>
      <w:r w:rsidRPr="006837E2">
        <w:rPr>
          <w:rFonts w:eastAsia="標楷體"/>
          <w:b/>
          <w:bCs/>
          <w:sz w:val="28"/>
          <w:szCs w:val="28"/>
        </w:rPr>
        <w:t>%)</w:t>
      </w:r>
    </w:p>
    <w:p w14:paraId="5A07BC22" w14:textId="3C9F256A" w:rsidR="00840683" w:rsidRDefault="00840683" w:rsidP="00840683">
      <w:pPr>
        <w:snapToGrid w:val="0"/>
        <w:spacing w:beforeLines="50" w:before="180"/>
        <w:ind w:left="357"/>
        <w:rPr>
          <w:rFonts w:eastAsia="標楷體" w:hAnsi="標楷體" w:hint="eastAsia"/>
          <w:color w:val="5B9BD5" w:themeColor="accent1"/>
          <w:sz w:val="28"/>
          <w:szCs w:val="28"/>
        </w:rPr>
      </w:pPr>
      <w:r w:rsidRPr="00840683">
        <w:rPr>
          <w:rFonts w:eastAsia="標楷體" w:hAnsi="標楷體" w:hint="eastAsia"/>
          <w:color w:val="5B9BD5" w:themeColor="accent1"/>
          <w:sz w:val="28"/>
          <w:szCs w:val="28"/>
        </w:rPr>
        <w:t>高溫燃料電池</w:t>
      </w:r>
      <w:r>
        <w:rPr>
          <w:rFonts w:eastAsia="標楷體" w:hAnsi="標楷體" w:hint="eastAsia"/>
          <w:color w:val="5B9BD5" w:themeColor="accent1"/>
          <w:sz w:val="28"/>
          <w:szCs w:val="28"/>
        </w:rPr>
        <w:t>:</w:t>
      </w:r>
      <w:r>
        <w:rPr>
          <w:rFonts w:eastAsia="標楷體" w:hAnsi="標楷體" w:hint="eastAsia"/>
          <w:color w:val="5B9BD5" w:themeColor="accent1"/>
          <w:sz w:val="28"/>
          <w:szCs w:val="28"/>
        </w:rPr>
        <w:t>效率較高</w:t>
      </w:r>
      <w:r>
        <w:rPr>
          <w:rFonts w:eastAsia="標楷體" w:hAnsi="標楷體" w:hint="eastAsia"/>
          <w:color w:val="5B9BD5" w:themeColor="accent1"/>
          <w:sz w:val="28"/>
          <w:szCs w:val="28"/>
        </w:rPr>
        <w:t>(50-80%)</w:t>
      </w:r>
      <w:r>
        <w:rPr>
          <w:rFonts w:eastAsia="標楷體" w:hAnsi="標楷體" w:hint="eastAsia"/>
          <w:color w:val="5B9BD5" w:themeColor="accent1"/>
          <w:sz w:val="28"/>
          <w:szCs w:val="28"/>
        </w:rPr>
        <w:t>、陽極常用鎳等金屬、</w:t>
      </w:r>
      <w:r w:rsidRPr="00840683">
        <w:rPr>
          <w:rFonts w:eastAsia="標楷體" w:hAnsi="標楷體"/>
          <w:color w:val="5B9BD5" w:themeColor="accent1"/>
          <w:sz w:val="28"/>
          <w:szCs w:val="28"/>
        </w:rPr>
        <w:t>常用於大型發電站或工業應用</w:t>
      </w:r>
      <w:r>
        <w:rPr>
          <w:rFonts w:eastAsia="標楷體" w:hAnsi="標楷體" w:hint="eastAsia"/>
          <w:color w:val="5B9BD5" w:themeColor="accent1"/>
          <w:sz w:val="28"/>
          <w:szCs w:val="28"/>
        </w:rPr>
        <w:t>。</w:t>
      </w:r>
    </w:p>
    <w:p w14:paraId="2FC86FC9" w14:textId="2D4E9483" w:rsidR="00840683" w:rsidRPr="00840683" w:rsidRDefault="00840683" w:rsidP="00840683">
      <w:pPr>
        <w:snapToGrid w:val="0"/>
        <w:spacing w:beforeLines="50" w:before="180"/>
        <w:ind w:left="357"/>
        <w:rPr>
          <w:rFonts w:eastAsia="標楷體" w:hAnsi="標楷體" w:hint="eastAsia"/>
          <w:color w:val="5B9BD5" w:themeColor="accent1"/>
          <w:sz w:val="28"/>
          <w:szCs w:val="28"/>
        </w:rPr>
      </w:pPr>
      <w:r w:rsidRPr="00840683">
        <w:rPr>
          <w:rFonts w:eastAsia="標楷體" w:hAnsi="標楷體" w:hint="eastAsia"/>
          <w:color w:val="5B9BD5" w:themeColor="accent1"/>
          <w:sz w:val="28"/>
          <w:szCs w:val="28"/>
        </w:rPr>
        <w:t>低溫燃料電池</w:t>
      </w:r>
      <w:r>
        <w:rPr>
          <w:rFonts w:eastAsia="標楷體" w:hAnsi="標楷體" w:hint="eastAsia"/>
          <w:color w:val="5B9BD5" w:themeColor="accent1"/>
          <w:sz w:val="28"/>
          <w:szCs w:val="28"/>
        </w:rPr>
        <w:t>:</w:t>
      </w:r>
      <w:r>
        <w:rPr>
          <w:rFonts w:eastAsia="標楷體" w:hAnsi="標楷體" w:hint="eastAsia"/>
          <w:color w:val="5B9BD5" w:themeColor="accent1"/>
          <w:sz w:val="28"/>
          <w:szCs w:val="28"/>
        </w:rPr>
        <w:t>效率較</w:t>
      </w:r>
      <w:r>
        <w:rPr>
          <w:rFonts w:eastAsia="標楷體" w:hAnsi="標楷體" w:hint="eastAsia"/>
          <w:color w:val="5B9BD5" w:themeColor="accent1"/>
          <w:sz w:val="28"/>
          <w:szCs w:val="28"/>
        </w:rPr>
        <w:t>低</w:t>
      </w:r>
      <w:r>
        <w:rPr>
          <w:rFonts w:eastAsia="標楷體" w:hAnsi="標楷體" w:hint="eastAsia"/>
          <w:color w:val="5B9BD5" w:themeColor="accent1"/>
          <w:sz w:val="28"/>
          <w:szCs w:val="28"/>
        </w:rPr>
        <w:t>(50-</w:t>
      </w:r>
      <w:r>
        <w:rPr>
          <w:rFonts w:eastAsia="標楷體" w:hAnsi="標楷體" w:hint="eastAsia"/>
          <w:color w:val="5B9BD5" w:themeColor="accent1"/>
          <w:sz w:val="28"/>
          <w:szCs w:val="28"/>
        </w:rPr>
        <w:t>6</w:t>
      </w:r>
      <w:r>
        <w:rPr>
          <w:rFonts w:eastAsia="標楷體" w:hAnsi="標楷體" w:hint="eastAsia"/>
          <w:color w:val="5B9BD5" w:themeColor="accent1"/>
          <w:sz w:val="28"/>
          <w:szCs w:val="28"/>
        </w:rPr>
        <w:t>0%)</w:t>
      </w:r>
      <w:r>
        <w:rPr>
          <w:rFonts w:eastAsia="標楷體" w:hAnsi="標楷體" w:hint="eastAsia"/>
          <w:color w:val="5B9BD5" w:themeColor="accent1"/>
          <w:sz w:val="28"/>
          <w:szCs w:val="28"/>
        </w:rPr>
        <w:t>、陰陽極使用白金</w:t>
      </w:r>
      <w:r>
        <w:rPr>
          <w:rFonts w:eastAsia="標楷體" w:hAnsi="標楷體" w:hint="eastAsia"/>
          <w:color w:val="5B9BD5" w:themeColor="accent1"/>
          <w:sz w:val="28"/>
          <w:szCs w:val="28"/>
        </w:rPr>
        <w:t>/</w:t>
      </w:r>
      <w:r>
        <w:rPr>
          <w:rFonts w:eastAsia="標楷體" w:hAnsi="標楷體" w:hint="eastAsia"/>
          <w:color w:val="5B9BD5" w:themeColor="accent1"/>
          <w:sz w:val="28"/>
          <w:szCs w:val="28"/>
        </w:rPr>
        <w:t>碳、</w:t>
      </w:r>
      <w:r w:rsidRPr="00840683">
        <w:rPr>
          <w:rFonts w:eastAsia="標楷體" w:hAnsi="標楷體"/>
          <w:color w:val="5B9BD5" w:themeColor="accent1"/>
          <w:sz w:val="28"/>
          <w:szCs w:val="28"/>
        </w:rPr>
        <w:t>常見於交通運輸</w:t>
      </w:r>
      <w:r>
        <w:rPr>
          <w:rFonts w:eastAsia="標楷體" w:hAnsi="標楷體" w:hint="eastAsia"/>
          <w:color w:val="5B9BD5" w:themeColor="accent1"/>
          <w:sz w:val="28"/>
          <w:szCs w:val="28"/>
        </w:rPr>
        <w:t>。</w:t>
      </w:r>
    </w:p>
    <w:p w14:paraId="609872DD" w14:textId="77777777" w:rsidR="005B2657" w:rsidRPr="00CD3304" w:rsidRDefault="005B2657" w:rsidP="005B2657">
      <w:pPr>
        <w:numPr>
          <w:ilvl w:val="0"/>
          <w:numId w:val="2"/>
        </w:numPr>
        <w:adjustRightInd w:val="0"/>
        <w:snapToGrid w:val="0"/>
        <w:spacing w:beforeLines="50" w:before="180"/>
        <w:ind w:left="357" w:hanging="357"/>
        <w:rPr>
          <w:rFonts w:eastAsia="標楷體"/>
          <w:sz w:val="28"/>
          <w:szCs w:val="28"/>
        </w:rPr>
      </w:pPr>
      <w:r w:rsidRPr="006837E2">
        <w:rPr>
          <w:rFonts w:eastAsia="標楷體" w:hAnsi="標楷體"/>
          <w:b/>
          <w:bCs/>
          <w:sz w:val="28"/>
          <w:szCs w:val="28"/>
        </w:rPr>
        <w:t>作為</w:t>
      </w:r>
      <w:bookmarkStart w:id="2" w:name="_Hlk179996176"/>
      <w:r w:rsidRPr="006837E2">
        <w:rPr>
          <w:rFonts w:eastAsia="標楷體" w:hAnsi="標楷體"/>
          <w:b/>
          <w:bCs/>
          <w:sz w:val="28"/>
          <w:szCs w:val="28"/>
        </w:rPr>
        <w:t>固態氧化物燃料電池</w:t>
      </w:r>
      <w:bookmarkEnd w:id="2"/>
      <w:r w:rsidRPr="006837E2">
        <w:rPr>
          <w:rFonts w:eastAsia="標楷體" w:hAnsi="標楷體" w:hint="eastAsia"/>
          <w:b/>
          <w:bCs/>
          <w:sz w:val="28"/>
          <w:szCs w:val="28"/>
        </w:rPr>
        <w:t>與熔融碳酸鹽</w:t>
      </w:r>
      <w:r w:rsidRPr="006837E2">
        <w:rPr>
          <w:rFonts w:eastAsia="標楷體" w:hAnsi="標楷體"/>
          <w:b/>
          <w:bCs/>
          <w:sz w:val="28"/>
          <w:szCs w:val="28"/>
        </w:rPr>
        <w:t>燃料電池之電解質</w:t>
      </w:r>
      <w:r w:rsidRPr="006837E2">
        <w:rPr>
          <w:rFonts w:eastAsia="標楷體" w:hAnsi="標楷體" w:hint="eastAsia"/>
          <w:b/>
          <w:bCs/>
          <w:sz w:val="28"/>
          <w:szCs w:val="28"/>
        </w:rPr>
        <w:t>差異為何</w:t>
      </w:r>
      <w:r w:rsidRPr="006837E2">
        <w:rPr>
          <w:rFonts w:eastAsia="標楷體" w:hAnsi="標楷體"/>
          <w:b/>
          <w:bCs/>
          <w:sz w:val="28"/>
          <w:szCs w:val="28"/>
        </w:rPr>
        <w:t>？</w:t>
      </w:r>
      <w:r w:rsidRPr="006837E2">
        <w:rPr>
          <w:rFonts w:eastAsia="標楷體"/>
          <w:b/>
          <w:bCs/>
          <w:sz w:val="28"/>
          <w:szCs w:val="28"/>
        </w:rPr>
        <w:t>(</w:t>
      </w:r>
      <w:r w:rsidRPr="006837E2">
        <w:rPr>
          <w:rFonts w:eastAsia="標楷體" w:hint="eastAsia"/>
          <w:b/>
          <w:bCs/>
          <w:sz w:val="28"/>
          <w:szCs w:val="28"/>
        </w:rPr>
        <w:t>8</w:t>
      </w:r>
      <w:r w:rsidRPr="006837E2">
        <w:rPr>
          <w:rFonts w:eastAsia="標楷體"/>
          <w:b/>
          <w:bCs/>
          <w:sz w:val="28"/>
          <w:szCs w:val="28"/>
        </w:rPr>
        <w:t>%)</w:t>
      </w:r>
    </w:p>
    <w:p w14:paraId="3CA2EC55" w14:textId="2EB8EB2F" w:rsidR="00CD3304" w:rsidRDefault="00CD3304" w:rsidP="00CD3304">
      <w:pPr>
        <w:adjustRightInd w:val="0"/>
        <w:snapToGrid w:val="0"/>
        <w:spacing w:beforeLines="50" w:before="180"/>
        <w:ind w:left="357"/>
        <w:rPr>
          <w:rFonts w:eastAsia="標楷體"/>
          <w:color w:val="5B9BD5" w:themeColor="accent1"/>
          <w:sz w:val="28"/>
          <w:szCs w:val="28"/>
        </w:rPr>
      </w:pPr>
      <w:r w:rsidRPr="00CD3304">
        <w:rPr>
          <w:rFonts w:eastAsia="標楷體" w:hint="eastAsia"/>
          <w:color w:val="5B9BD5" w:themeColor="accent1"/>
          <w:sz w:val="28"/>
          <w:szCs w:val="28"/>
        </w:rPr>
        <w:t>固態氧化物燃料電池</w:t>
      </w:r>
      <w:r>
        <w:rPr>
          <w:rFonts w:eastAsia="標楷體" w:hint="eastAsia"/>
          <w:color w:val="5B9BD5" w:themeColor="accent1"/>
          <w:sz w:val="28"/>
          <w:szCs w:val="28"/>
        </w:rPr>
        <w:t>:</w:t>
      </w:r>
      <w:r w:rsidR="009C1FF1" w:rsidRPr="009C1FF1">
        <w:rPr>
          <w:rFonts w:hint="eastAsia"/>
        </w:rPr>
        <w:t xml:space="preserve"> </w:t>
      </w:r>
      <w:r w:rsidR="009C1FF1" w:rsidRPr="009C1FF1">
        <w:rPr>
          <w:rFonts w:eastAsia="標楷體" w:hint="eastAsia"/>
          <w:color w:val="5B9BD5" w:themeColor="accent1"/>
          <w:sz w:val="28"/>
          <w:szCs w:val="28"/>
        </w:rPr>
        <w:t>摻雜氧化鋯（</w:t>
      </w:r>
      <w:r w:rsidR="009C1FF1" w:rsidRPr="009C1FF1">
        <w:rPr>
          <w:rFonts w:eastAsia="標楷體"/>
          <w:color w:val="5B9BD5" w:themeColor="accent1"/>
          <w:sz w:val="28"/>
          <w:szCs w:val="28"/>
        </w:rPr>
        <w:t>ZrO₂</w:t>
      </w:r>
      <w:r w:rsidR="009C1FF1" w:rsidRPr="009C1FF1">
        <w:rPr>
          <w:rFonts w:eastAsia="標楷體" w:hint="eastAsia"/>
          <w:color w:val="5B9BD5" w:themeColor="accent1"/>
          <w:sz w:val="28"/>
          <w:szCs w:val="28"/>
        </w:rPr>
        <w:t>），通常摻入氧化釔（</w:t>
      </w:r>
      <w:r w:rsidR="009C1FF1" w:rsidRPr="009C1FF1">
        <w:rPr>
          <w:rFonts w:eastAsia="標楷體"/>
          <w:color w:val="5B9BD5" w:themeColor="accent1"/>
          <w:sz w:val="28"/>
          <w:szCs w:val="28"/>
        </w:rPr>
        <w:t>Y₂O₃</w:t>
      </w:r>
      <w:r w:rsidR="009C1FF1" w:rsidRPr="009C1FF1">
        <w:rPr>
          <w:rFonts w:eastAsia="標楷體" w:hint="eastAsia"/>
          <w:color w:val="5B9BD5" w:themeColor="accent1"/>
          <w:sz w:val="28"/>
          <w:szCs w:val="28"/>
        </w:rPr>
        <w:t>）形成釔穩定氧化鋯（</w:t>
      </w:r>
      <w:r w:rsidR="009C1FF1" w:rsidRPr="009C1FF1">
        <w:rPr>
          <w:rFonts w:eastAsia="標楷體"/>
          <w:color w:val="5B9BD5" w:themeColor="accent1"/>
          <w:sz w:val="28"/>
          <w:szCs w:val="28"/>
        </w:rPr>
        <w:t>YSZ</w:t>
      </w:r>
      <w:r w:rsidR="009C1FF1" w:rsidRPr="009C1FF1">
        <w:rPr>
          <w:rFonts w:eastAsia="標楷體" w:hint="eastAsia"/>
          <w:color w:val="5B9BD5" w:themeColor="accent1"/>
          <w:sz w:val="28"/>
          <w:szCs w:val="28"/>
        </w:rPr>
        <w:t>）</w:t>
      </w:r>
      <w:r w:rsidR="009C1FF1">
        <w:rPr>
          <w:rFonts w:eastAsia="標楷體" w:hint="eastAsia"/>
          <w:color w:val="5B9BD5" w:themeColor="accent1"/>
          <w:sz w:val="28"/>
          <w:szCs w:val="28"/>
        </w:rPr>
        <w:t>。</w:t>
      </w:r>
    </w:p>
    <w:p w14:paraId="5272863C" w14:textId="46586BE3" w:rsidR="00CD3304" w:rsidRPr="00CD3304" w:rsidRDefault="00CD3304" w:rsidP="00CD3304">
      <w:pPr>
        <w:adjustRightInd w:val="0"/>
        <w:snapToGrid w:val="0"/>
        <w:spacing w:beforeLines="50" w:before="180"/>
        <w:ind w:left="357"/>
        <w:rPr>
          <w:rFonts w:eastAsia="標楷體" w:hint="eastAsia"/>
          <w:color w:val="5B9BD5" w:themeColor="accent1"/>
          <w:sz w:val="28"/>
          <w:szCs w:val="28"/>
        </w:rPr>
      </w:pPr>
      <w:r w:rsidRPr="00CD3304">
        <w:rPr>
          <w:rFonts w:eastAsia="標楷體" w:hint="eastAsia"/>
          <w:color w:val="5B9BD5" w:themeColor="accent1"/>
          <w:sz w:val="28"/>
          <w:szCs w:val="28"/>
        </w:rPr>
        <w:t>熔融碳酸鹽燃料電池</w:t>
      </w:r>
      <w:r>
        <w:rPr>
          <w:rFonts w:eastAsia="標楷體" w:hint="eastAsia"/>
          <w:color w:val="5B9BD5" w:themeColor="accent1"/>
          <w:sz w:val="28"/>
          <w:szCs w:val="28"/>
        </w:rPr>
        <w:t>:</w:t>
      </w:r>
      <w:r w:rsidR="009C1FF1">
        <w:rPr>
          <w:rFonts w:eastAsia="標楷體" w:hint="eastAsia"/>
          <w:color w:val="5B9BD5" w:themeColor="accent1"/>
          <w:sz w:val="28"/>
          <w:szCs w:val="28"/>
        </w:rPr>
        <w:t xml:space="preserve"> </w:t>
      </w:r>
      <w:r w:rsidR="009C1FF1" w:rsidRPr="009C1FF1">
        <w:rPr>
          <w:rFonts w:eastAsia="標楷體" w:hint="eastAsia"/>
          <w:color w:val="5B9BD5" w:themeColor="accent1"/>
          <w:sz w:val="28"/>
          <w:szCs w:val="28"/>
        </w:rPr>
        <w:t>熔融的碳酸鹽</w:t>
      </w:r>
      <w:r w:rsidR="009C1FF1">
        <w:rPr>
          <w:rFonts w:eastAsia="標楷體" w:hint="eastAsia"/>
          <w:color w:val="5B9BD5" w:themeColor="accent1"/>
          <w:sz w:val="28"/>
          <w:szCs w:val="28"/>
        </w:rPr>
        <w:t>。</w:t>
      </w:r>
    </w:p>
    <w:p w14:paraId="537B71A2" w14:textId="77777777" w:rsidR="005B2657" w:rsidRPr="009C1FF1" w:rsidRDefault="005B2657" w:rsidP="005B2657">
      <w:pPr>
        <w:numPr>
          <w:ilvl w:val="0"/>
          <w:numId w:val="2"/>
        </w:numPr>
        <w:snapToGrid w:val="0"/>
        <w:spacing w:beforeLines="50" w:before="180"/>
        <w:ind w:left="357" w:hanging="357"/>
        <w:rPr>
          <w:rFonts w:eastAsia="標楷體"/>
          <w:sz w:val="28"/>
          <w:szCs w:val="28"/>
        </w:rPr>
      </w:pPr>
      <w:r w:rsidRPr="006837E2">
        <w:rPr>
          <w:rFonts w:eastAsia="標楷體" w:hAnsi="標楷體" w:hint="eastAsia"/>
          <w:b/>
          <w:bCs/>
          <w:sz w:val="28"/>
          <w:szCs w:val="28"/>
        </w:rPr>
        <w:t>作為高溫固態氧化物燃料電池</w:t>
      </w:r>
      <w:r w:rsidRPr="006837E2">
        <w:rPr>
          <w:rFonts w:eastAsia="標楷體" w:hAnsi="標楷體" w:hint="eastAsia"/>
          <w:b/>
          <w:bCs/>
          <w:sz w:val="28"/>
          <w:szCs w:val="28"/>
        </w:rPr>
        <w:t>(SOFC)</w:t>
      </w:r>
      <w:r w:rsidRPr="006837E2">
        <w:rPr>
          <w:rFonts w:eastAsia="標楷體" w:hAnsi="標楷體" w:hint="eastAsia"/>
          <w:b/>
          <w:bCs/>
          <w:sz w:val="28"/>
          <w:szCs w:val="28"/>
        </w:rPr>
        <w:t>之電極</w:t>
      </w:r>
      <w:r w:rsidRPr="006837E2">
        <w:rPr>
          <w:rFonts w:eastAsia="標楷體" w:hAnsi="標楷體" w:hint="eastAsia"/>
          <w:b/>
          <w:bCs/>
          <w:sz w:val="28"/>
          <w:szCs w:val="28"/>
        </w:rPr>
        <w:t>(</w:t>
      </w:r>
      <w:r w:rsidRPr="006837E2">
        <w:rPr>
          <w:rFonts w:eastAsia="標楷體" w:hAnsi="標楷體" w:hint="eastAsia"/>
          <w:b/>
          <w:bCs/>
          <w:sz w:val="28"/>
          <w:szCs w:val="28"/>
        </w:rPr>
        <w:t>陰極與陽極</w:t>
      </w:r>
      <w:r w:rsidRPr="006837E2">
        <w:rPr>
          <w:rFonts w:eastAsia="標楷體" w:hAnsi="標楷體" w:hint="eastAsia"/>
          <w:b/>
          <w:bCs/>
          <w:sz w:val="28"/>
          <w:szCs w:val="28"/>
        </w:rPr>
        <w:t>)</w:t>
      </w:r>
      <w:r w:rsidRPr="006837E2">
        <w:rPr>
          <w:rFonts w:eastAsia="標楷體" w:hAnsi="標楷體" w:hint="eastAsia"/>
          <w:b/>
          <w:bCs/>
          <w:sz w:val="28"/>
          <w:szCs w:val="28"/>
        </w:rPr>
        <w:t>材料，與高分子燃料電池電極</w:t>
      </w:r>
      <w:r w:rsidRPr="006837E2">
        <w:rPr>
          <w:rFonts w:eastAsia="標楷體" w:hAnsi="標楷體" w:hint="eastAsia"/>
          <w:b/>
          <w:bCs/>
          <w:sz w:val="28"/>
          <w:szCs w:val="28"/>
        </w:rPr>
        <w:t>(</w:t>
      </w:r>
      <w:r w:rsidRPr="006837E2">
        <w:rPr>
          <w:rFonts w:eastAsia="標楷體" w:hAnsi="標楷體" w:hint="eastAsia"/>
          <w:b/>
          <w:bCs/>
          <w:sz w:val="28"/>
          <w:szCs w:val="28"/>
        </w:rPr>
        <w:t>具催化性</w:t>
      </w:r>
      <w:r w:rsidRPr="006837E2">
        <w:rPr>
          <w:rFonts w:eastAsia="標楷體" w:hAnsi="標楷體" w:hint="eastAsia"/>
          <w:b/>
          <w:bCs/>
          <w:sz w:val="28"/>
          <w:szCs w:val="28"/>
        </w:rPr>
        <w:t>)</w:t>
      </w:r>
      <w:r w:rsidRPr="006837E2">
        <w:rPr>
          <w:rFonts w:eastAsia="標楷體" w:hAnsi="標楷體" w:hint="eastAsia"/>
          <w:b/>
          <w:bCs/>
          <w:sz w:val="28"/>
          <w:szCs w:val="28"/>
        </w:rPr>
        <w:t>材料有何差異極其原因</w:t>
      </w:r>
      <w:r w:rsidRPr="006837E2">
        <w:rPr>
          <w:rFonts w:eastAsia="標楷體" w:hAnsi="標楷體" w:hint="eastAsia"/>
          <w:b/>
          <w:bCs/>
          <w:sz w:val="28"/>
          <w:szCs w:val="28"/>
        </w:rPr>
        <w:t>? (SOFC)</w:t>
      </w:r>
      <w:r w:rsidRPr="006837E2">
        <w:rPr>
          <w:rFonts w:eastAsia="標楷體" w:hAnsi="標楷體" w:hint="eastAsia"/>
          <w:b/>
          <w:bCs/>
          <w:sz w:val="28"/>
          <w:szCs w:val="28"/>
        </w:rPr>
        <w:t>之電極所需具備的特質為何？</w:t>
      </w:r>
      <w:r w:rsidRPr="006837E2">
        <w:rPr>
          <w:rFonts w:eastAsia="標楷體" w:hAnsi="標楷體" w:hint="eastAsia"/>
          <w:b/>
          <w:bCs/>
          <w:sz w:val="28"/>
          <w:szCs w:val="28"/>
        </w:rPr>
        <w:t>(</w:t>
      </w:r>
      <w:r w:rsidRPr="006837E2">
        <w:rPr>
          <w:rFonts w:eastAsia="標楷體" w:hint="eastAsia"/>
          <w:b/>
          <w:bCs/>
          <w:sz w:val="28"/>
          <w:szCs w:val="28"/>
        </w:rPr>
        <w:t>8</w:t>
      </w:r>
      <w:r w:rsidRPr="006837E2">
        <w:rPr>
          <w:rFonts w:eastAsia="標楷體"/>
          <w:b/>
          <w:bCs/>
          <w:sz w:val="28"/>
          <w:szCs w:val="28"/>
        </w:rPr>
        <w:t>%)</w:t>
      </w:r>
    </w:p>
    <w:p w14:paraId="7EFA4DCD" w14:textId="77777777" w:rsidR="009C1FF1" w:rsidRDefault="009C1FF1" w:rsidP="009C1FF1">
      <w:pPr>
        <w:pStyle w:val="a7"/>
        <w:numPr>
          <w:ilvl w:val="1"/>
          <w:numId w:val="2"/>
        </w:numPr>
        <w:snapToGrid w:val="0"/>
        <w:spacing w:beforeLines="50" w:before="180"/>
        <w:ind w:leftChars="0"/>
        <w:rPr>
          <w:rFonts w:eastAsia="標楷體"/>
          <w:color w:val="5B9BD5" w:themeColor="accent1"/>
          <w:sz w:val="28"/>
          <w:szCs w:val="28"/>
        </w:rPr>
      </w:pPr>
    </w:p>
    <w:p w14:paraId="09AE6095" w14:textId="3B351884" w:rsidR="009C1FF1" w:rsidRPr="009C1FF1" w:rsidRDefault="009C1FF1" w:rsidP="009C1FF1">
      <w:pPr>
        <w:pStyle w:val="a7"/>
        <w:numPr>
          <w:ilvl w:val="0"/>
          <w:numId w:val="4"/>
        </w:numPr>
        <w:snapToGrid w:val="0"/>
        <w:spacing w:beforeLines="50" w:before="180"/>
        <w:ind w:leftChars="0"/>
        <w:rPr>
          <w:rFonts w:eastAsia="標楷體" w:hint="eastAsia"/>
          <w:color w:val="5B9BD5" w:themeColor="accent1"/>
          <w:sz w:val="28"/>
          <w:szCs w:val="28"/>
        </w:rPr>
      </w:pPr>
      <w:r w:rsidRPr="009C1FF1">
        <w:rPr>
          <w:rFonts w:eastAsia="標楷體" w:hint="eastAsia"/>
          <w:color w:val="5B9BD5" w:themeColor="accent1"/>
          <w:sz w:val="28"/>
          <w:szCs w:val="28"/>
        </w:rPr>
        <w:t>高溫固態氧化物燃料電池電極材料：</w:t>
      </w:r>
    </w:p>
    <w:p w14:paraId="1493FF75" w14:textId="77777777" w:rsidR="009C1FF1" w:rsidRDefault="009C1FF1" w:rsidP="009C1FF1">
      <w:pPr>
        <w:pStyle w:val="a7"/>
        <w:numPr>
          <w:ilvl w:val="0"/>
          <w:numId w:val="5"/>
        </w:numPr>
        <w:snapToGrid w:val="0"/>
        <w:spacing w:beforeLines="50" w:before="180"/>
        <w:ind w:leftChars="0"/>
        <w:rPr>
          <w:rFonts w:eastAsia="標楷體"/>
          <w:color w:val="5B9BD5" w:themeColor="accent1"/>
          <w:sz w:val="28"/>
          <w:szCs w:val="28"/>
        </w:rPr>
      </w:pPr>
      <w:r w:rsidRPr="009C1FF1">
        <w:rPr>
          <w:rFonts w:eastAsia="標楷體" w:hint="eastAsia"/>
          <w:color w:val="5B9BD5" w:themeColor="accent1"/>
          <w:sz w:val="28"/>
          <w:szCs w:val="28"/>
        </w:rPr>
        <w:t>陽極材料：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SOFC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的陽極通常使用鎳基陶瓷材料，如鎳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-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釔穩定氧化鋯（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Ni-YSZ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）複合材料。鎳具有良好的催化活性，用於氧化氫氣或一氧化碳，同時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YSZ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可作為導電材料。這些材料能夠在高溫環境下保持穩定。</w:t>
      </w:r>
    </w:p>
    <w:p w14:paraId="1880A605" w14:textId="1F40D0B9" w:rsidR="009C1FF1" w:rsidRPr="009C1FF1" w:rsidRDefault="009C1FF1" w:rsidP="009C1FF1">
      <w:pPr>
        <w:pStyle w:val="a7"/>
        <w:numPr>
          <w:ilvl w:val="0"/>
          <w:numId w:val="5"/>
        </w:numPr>
        <w:snapToGrid w:val="0"/>
        <w:spacing w:beforeLines="50" w:before="180"/>
        <w:ind w:leftChars="0"/>
        <w:rPr>
          <w:rFonts w:eastAsia="標楷體"/>
          <w:color w:val="5B9BD5" w:themeColor="accent1"/>
          <w:sz w:val="28"/>
          <w:szCs w:val="28"/>
        </w:rPr>
      </w:pPr>
      <w:r w:rsidRPr="009C1FF1">
        <w:rPr>
          <w:rFonts w:eastAsia="標楷體" w:hint="eastAsia"/>
          <w:color w:val="5B9BD5" w:themeColor="accent1"/>
          <w:sz w:val="28"/>
          <w:szCs w:val="28"/>
        </w:rPr>
        <w:t>陰極材料：</w:t>
      </w:r>
      <w:r w:rsidRPr="009C1FF1">
        <w:rPr>
          <w:rFonts w:eastAsia="標楷體"/>
          <w:color w:val="5B9BD5" w:themeColor="accent1"/>
          <w:sz w:val="28"/>
          <w:szCs w:val="28"/>
        </w:rPr>
        <w:t>SOFC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的陰極常用鈣鈦礦型材料，如鍶摻雜的鈣鈦礦氧化物（</w:t>
      </w:r>
      <w:r w:rsidRPr="009C1FF1">
        <w:rPr>
          <w:rFonts w:eastAsia="標楷體"/>
          <w:color w:val="5B9BD5" w:themeColor="accent1"/>
          <w:sz w:val="28"/>
          <w:szCs w:val="28"/>
        </w:rPr>
        <w:t>La₁₋ₓSrₓMnO₃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，</w:t>
      </w:r>
      <w:r w:rsidRPr="009C1FF1">
        <w:rPr>
          <w:rFonts w:eastAsia="標楷體"/>
          <w:color w:val="5B9BD5" w:themeColor="accent1"/>
          <w:sz w:val="28"/>
          <w:szCs w:val="28"/>
        </w:rPr>
        <w:t>LSM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）或鍶鐵鈷氧化物（</w:t>
      </w:r>
      <w:r w:rsidRPr="009C1FF1">
        <w:rPr>
          <w:rFonts w:eastAsia="標楷體"/>
          <w:color w:val="5B9BD5" w:themeColor="accent1"/>
          <w:sz w:val="28"/>
          <w:szCs w:val="28"/>
        </w:rPr>
        <w:t>SrFeCoO₃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，</w:t>
      </w:r>
      <w:r w:rsidRPr="009C1FF1">
        <w:rPr>
          <w:rFonts w:eastAsia="標楷體"/>
          <w:color w:val="5B9BD5" w:themeColor="accent1"/>
          <w:sz w:val="28"/>
          <w:szCs w:val="28"/>
        </w:rPr>
        <w:t>SFC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）。這些材料在高溫下具有良好的氧還原反應催化活性，並且能導電。</w:t>
      </w:r>
    </w:p>
    <w:p w14:paraId="7EF0B3AD" w14:textId="305154F5" w:rsidR="009C1FF1" w:rsidRPr="009C1FF1" w:rsidRDefault="009C1FF1" w:rsidP="009C1FF1">
      <w:pPr>
        <w:pStyle w:val="a7"/>
        <w:numPr>
          <w:ilvl w:val="0"/>
          <w:numId w:val="4"/>
        </w:numPr>
        <w:snapToGrid w:val="0"/>
        <w:spacing w:beforeLines="50" w:before="180"/>
        <w:ind w:leftChars="0"/>
        <w:rPr>
          <w:rFonts w:eastAsia="標楷體" w:hint="eastAsia"/>
          <w:color w:val="5B9BD5" w:themeColor="accent1"/>
          <w:sz w:val="28"/>
          <w:szCs w:val="28"/>
        </w:rPr>
      </w:pPr>
      <w:r w:rsidRPr="009C1FF1">
        <w:rPr>
          <w:rFonts w:eastAsia="標楷體" w:hint="eastAsia"/>
          <w:color w:val="5B9BD5" w:themeColor="accent1"/>
          <w:sz w:val="28"/>
          <w:szCs w:val="28"/>
        </w:rPr>
        <w:t>高分子燃料電池電極材料：</w:t>
      </w:r>
    </w:p>
    <w:p w14:paraId="2A8EE40B" w14:textId="6CD6492C" w:rsidR="009C1FF1" w:rsidRDefault="009C1FF1" w:rsidP="009C1FF1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eastAsia="標楷體"/>
          <w:color w:val="5B9BD5" w:themeColor="accent1"/>
          <w:sz w:val="28"/>
          <w:szCs w:val="28"/>
        </w:rPr>
      </w:pPr>
      <w:r w:rsidRPr="009C1FF1">
        <w:rPr>
          <w:rFonts w:eastAsia="標楷體" w:hint="eastAsia"/>
          <w:color w:val="5B9BD5" w:themeColor="accent1"/>
          <w:sz w:val="28"/>
          <w:szCs w:val="28"/>
        </w:rPr>
        <w:t>陽極和陰極材料：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PEMFC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的電極一般使用貴金屬催化劑，最常見的是鉑（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Pt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）或鉑基合金材料。鉑在較低溫度下具有極高的催化活性，用於氫氣的氧化（在陽極）和氧氣的還原（在陰極）。</w:t>
      </w:r>
    </w:p>
    <w:p w14:paraId="7925C956" w14:textId="0270015E" w:rsidR="009C1FF1" w:rsidRDefault="009C1FF1" w:rsidP="009C1FF1">
      <w:pPr>
        <w:pStyle w:val="a7"/>
        <w:numPr>
          <w:ilvl w:val="1"/>
          <w:numId w:val="2"/>
        </w:numPr>
        <w:snapToGrid w:val="0"/>
        <w:spacing w:beforeLines="50" w:before="180"/>
        <w:ind w:leftChars="0"/>
        <w:rPr>
          <w:rFonts w:eastAsia="標楷體"/>
          <w:color w:val="5B9BD5" w:themeColor="accent1"/>
          <w:sz w:val="28"/>
          <w:szCs w:val="28"/>
        </w:rPr>
      </w:pPr>
      <w:r>
        <w:rPr>
          <w:rFonts w:eastAsia="標楷體" w:hint="eastAsia"/>
          <w:color w:val="5B9BD5" w:themeColor="accent1"/>
          <w:sz w:val="28"/>
          <w:szCs w:val="28"/>
        </w:rPr>
        <w:lastRenderedPageBreak/>
        <w:t>SOFC</w:t>
      </w:r>
      <w:r>
        <w:rPr>
          <w:rFonts w:eastAsia="標楷體" w:hint="eastAsia"/>
          <w:color w:val="5B9BD5" w:themeColor="accent1"/>
          <w:sz w:val="28"/>
          <w:szCs w:val="28"/>
        </w:rPr>
        <w:t>電極所具備的特性有以下幾點</w:t>
      </w:r>
      <w:r>
        <w:rPr>
          <w:rFonts w:eastAsia="標楷體" w:hint="eastAsia"/>
          <w:color w:val="5B9BD5" w:themeColor="accent1"/>
          <w:sz w:val="28"/>
          <w:szCs w:val="28"/>
        </w:rPr>
        <w:t>:</w:t>
      </w:r>
    </w:p>
    <w:p w14:paraId="230125A2" w14:textId="6D0D7B49" w:rsidR="009C1FF1" w:rsidRPr="009C1FF1" w:rsidRDefault="009C1FF1" w:rsidP="009C1FF1">
      <w:pPr>
        <w:pStyle w:val="a7"/>
        <w:numPr>
          <w:ilvl w:val="0"/>
          <w:numId w:val="4"/>
        </w:numPr>
        <w:snapToGrid w:val="0"/>
        <w:spacing w:beforeLines="50" w:before="180"/>
        <w:ind w:leftChars="0"/>
        <w:rPr>
          <w:rFonts w:eastAsia="標楷體" w:hint="eastAsia"/>
          <w:color w:val="5B9BD5" w:themeColor="accent1"/>
          <w:sz w:val="28"/>
          <w:szCs w:val="28"/>
        </w:rPr>
      </w:pPr>
      <w:r w:rsidRPr="009C1FF1">
        <w:rPr>
          <w:rFonts w:eastAsia="標楷體" w:hint="eastAsia"/>
          <w:color w:val="5B9BD5" w:themeColor="accent1"/>
          <w:sz w:val="28"/>
          <w:szCs w:val="28"/>
        </w:rPr>
        <w:t>高溫穩定性：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SOFC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的電極材料必須能夠在高溫下長時間穩定運行，這意味著它們不會在高溫環境中退化或分解。</w:t>
      </w:r>
    </w:p>
    <w:p w14:paraId="646DE097" w14:textId="12DB6768" w:rsidR="009C1FF1" w:rsidRPr="009C1FF1" w:rsidRDefault="009C1FF1" w:rsidP="009C1FF1">
      <w:pPr>
        <w:pStyle w:val="a7"/>
        <w:numPr>
          <w:ilvl w:val="0"/>
          <w:numId w:val="4"/>
        </w:numPr>
        <w:snapToGrid w:val="0"/>
        <w:spacing w:beforeLines="50" w:before="180"/>
        <w:ind w:leftChars="0"/>
        <w:rPr>
          <w:rFonts w:eastAsia="標楷體" w:hint="eastAsia"/>
          <w:color w:val="5B9BD5" w:themeColor="accent1"/>
          <w:sz w:val="28"/>
          <w:szCs w:val="28"/>
        </w:rPr>
      </w:pPr>
      <w:r w:rsidRPr="009C1FF1">
        <w:rPr>
          <w:rFonts w:eastAsia="標楷體" w:hint="eastAsia"/>
          <w:color w:val="5B9BD5" w:themeColor="accent1"/>
          <w:sz w:val="28"/>
          <w:szCs w:val="28"/>
        </w:rPr>
        <w:t>良好的催化活性：陽極材料需要對氫氣和一氧化碳氧化反應有高催化活性，而陰極材料則需要對氧氣還原反應具有良好的催化效果。</w:t>
      </w:r>
    </w:p>
    <w:p w14:paraId="56BCCE74" w14:textId="2F92A039" w:rsidR="009C1FF1" w:rsidRPr="009C1FF1" w:rsidRDefault="009C1FF1" w:rsidP="009C1FF1">
      <w:pPr>
        <w:pStyle w:val="a7"/>
        <w:numPr>
          <w:ilvl w:val="0"/>
          <w:numId w:val="4"/>
        </w:numPr>
        <w:snapToGrid w:val="0"/>
        <w:spacing w:beforeLines="50" w:before="180"/>
        <w:ind w:leftChars="0"/>
        <w:rPr>
          <w:rFonts w:eastAsia="標楷體" w:hint="eastAsia"/>
          <w:color w:val="5B9BD5" w:themeColor="accent1"/>
          <w:sz w:val="28"/>
          <w:szCs w:val="28"/>
        </w:rPr>
      </w:pPr>
      <w:r w:rsidRPr="009C1FF1">
        <w:rPr>
          <w:rFonts w:eastAsia="標楷體" w:hint="eastAsia"/>
          <w:color w:val="5B9BD5" w:themeColor="accent1"/>
          <w:sz w:val="28"/>
          <w:szCs w:val="28"/>
        </w:rPr>
        <w:t>導電性：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SOFC</w:t>
      </w:r>
      <w:r w:rsidRPr="009C1FF1">
        <w:rPr>
          <w:rFonts w:eastAsia="標楷體" w:hint="eastAsia"/>
          <w:color w:val="5B9BD5" w:themeColor="accent1"/>
          <w:sz w:val="28"/>
          <w:szCs w:val="28"/>
        </w:rPr>
        <w:t>電極材料需要具備高的電子導電性，以確保電流能有效傳輸。陽極通常需要兼具電子和離子導電能力（特別是在與電解質界面的區域）。</w:t>
      </w:r>
    </w:p>
    <w:p w14:paraId="215DA634" w14:textId="0BC955AE" w:rsidR="009C1FF1" w:rsidRPr="009C1FF1" w:rsidRDefault="009C1FF1" w:rsidP="009C1FF1">
      <w:pPr>
        <w:pStyle w:val="a7"/>
        <w:numPr>
          <w:ilvl w:val="0"/>
          <w:numId w:val="4"/>
        </w:numPr>
        <w:snapToGrid w:val="0"/>
        <w:spacing w:beforeLines="50" w:before="180"/>
        <w:ind w:leftChars="0"/>
        <w:rPr>
          <w:rFonts w:eastAsia="標楷體" w:hint="eastAsia"/>
          <w:color w:val="5B9BD5" w:themeColor="accent1"/>
          <w:sz w:val="28"/>
          <w:szCs w:val="28"/>
        </w:rPr>
      </w:pPr>
      <w:r w:rsidRPr="009C1FF1">
        <w:rPr>
          <w:rFonts w:eastAsia="標楷體" w:hint="eastAsia"/>
          <w:color w:val="5B9BD5" w:themeColor="accent1"/>
          <w:sz w:val="28"/>
          <w:szCs w:val="28"/>
        </w:rPr>
        <w:t>化學相容性：電極材料與電解質材料之間需要有良好的化學相容性，這樣才能確保反應界面穩定且不會發生不良的副反應。</w:t>
      </w:r>
    </w:p>
    <w:p w14:paraId="46F09EF9" w14:textId="48563D4B" w:rsidR="009C1FF1" w:rsidRPr="009C1FF1" w:rsidRDefault="009C1FF1" w:rsidP="009C1FF1">
      <w:pPr>
        <w:pStyle w:val="a7"/>
        <w:numPr>
          <w:ilvl w:val="0"/>
          <w:numId w:val="4"/>
        </w:numPr>
        <w:snapToGrid w:val="0"/>
        <w:spacing w:beforeLines="50" w:before="180"/>
        <w:ind w:leftChars="0"/>
        <w:rPr>
          <w:rFonts w:eastAsia="標楷體" w:hint="eastAsia"/>
          <w:color w:val="5B9BD5" w:themeColor="accent1"/>
          <w:sz w:val="28"/>
          <w:szCs w:val="28"/>
        </w:rPr>
      </w:pPr>
      <w:r w:rsidRPr="009C1FF1">
        <w:rPr>
          <w:rFonts w:eastAsia="標楷體" w:hint="eastAsia"/>
          <w:color w:val="5B9BD5" w:themeColor="accent1"/>
          <w:sz w:val="28"/>
          <w:szCs w:val="28"/>
        </w:rPr>
        <w:t>孔隙結構和氣體擴散能力：電極材料通常需要具有多孔結構，以允許反應氣體有效地擴散到反應界面並參與電化學反應。</w:t>
      </w:r>
    </w:p>
    <w:p w14:paraId="41C33C87" w14:textId="77777777" w:rsidR="00F4503D" w:rsidRPr="006837E2" w:rsidRDefault="005B2657" w:rsidP="00F4503D">
      <w:pPr>
        <w:rPr>
          <w:rFonts w:ascii="Times New Roman" w:eastAsia="標楷體" w:hAnsi="Times New Roman"/>
          <w:b/>
          <w:bCs/>
          <w:sz w:val="28"/>
          <w:szCs w:val="28"/>
        </w:rPr>
      </w:pPr>
      <w:r w:rsidRPr="006837E2">
        <w:rPr>
          <w:rFonts w:ascii="Times New Roman" w:eastAsia="標楷體" w:hAnsi="Times New Roman" w:hint="eastAsia"/>
          <w:b/>
          <w:bCs/>
          <w:sz w:val="28"/>
          <w:szCs w:val="28"/>
        </w:rPr>
        <w:t>鋰離子電池</w:t>
      </w:r>
    </w:p>
    <w:p w14:paraId="79F5D75D" w14:textId="15D51B48" w:rsidR="00326F58" w:rsidRPr="00685ABA" w:rsidRDefault="00326F58" w:rsidP="005B2657">
      <w:pPr>
        <w:numPr>
          <w:ilvl w:val="0"/>
          <w:numId w:val="1"/>
        </w:numPr>
        <w:snapToGrid w:val="0"/>
        <w:jc w:val="both"/>
        <w:rPr>
          <w:rFonts w:ascii="Times New Roman" w:eastAsia="標楷體" w:hAnsi="Times New Roman"/>
          <w:sz w:val="28"/>
          <w:szCs w:val="28"/>
        </w:rPr>
      </w:pPr>
      <w:r w:rsidRPr="006837E2">
        <w:rPr>
          <w:rFonts w:ascii="Times New Roman" w:eastAsia="標楷體" w:hAnsi="Times New Roman"/>
          <w:b/>
          <w:bCs/>
          <w:sz w:val="28"/>
          <w:szCs w:val="28"/>
        </w:rPr>
        <w:t>在電池正負極材料性能，常常以</w:t>
      </w:r>
      <w:r w:rsidRPr="006837E2">
        <w:rPr>
          <w:rFonts w:ascii="Times New Roman" w:eastAsia="標楷體" w:hAnsi="Times New Roman"/>
          <w:b/>
          <w:bCs/>
          <w:sz w:val="28"/>
          <w:szCs w:val="28"/>
        </w:rPr>
        <w:t xml:space="preserve">Ah/g </w:t>
      </w:r>
      <w:r w:rsidRPr="006837E2">
        <w:rPr>
          <w:rFonts w:ascii="Times New Roman" w:eastAsia="標楷體" w:hAnsi="Times New Roman"/>
          <w:b/>
          <w:bCs/>
          <w:sz w:val="28"/>
          <w:szCs w:val="28"/>
        </w:rPr>
        <w:t>或</w:t>
      </w:r>
      <w:r w:rsidRPr="006837E2">
        <w:rPr>
          <w:rFonts w:ascii="Times New Roman" w:eastAsia="標楷體" w:hAnsi="Times New Roman"/>
          <w:b/>
          <w:bCs/>
          <w:sz w:val="28"/>
          <w:szCs w:val="28"/>
        </w:rPr>
        <w:t xml:space="preserve">mAh/g </w:t>
      </w:r>
      <w:r w:rsidRPr="006837E2">
        <w:rPr>
          <w:rFonts w:ascii="Times New Roman" w:eastAsia="標楷體" w:hAnsi="Times New Roman"/>
          <w:b/>
          <w:bCs/>
          <w:sz w:val="28"/>
          <w:szCs w:val="28"/>
        </w:rPr>
        <w:t>來表示；請以</w:t>
      </w:r>
      <w:r w:rsidRPr="006837E2">
        <w:rPr>
          <w:rFonts w:ascii="Times New Roman" w:eastAsia="標楷體" w:hAnsi="Times New Roman"/>
          <w:b/>
          <w:bCs/>
          <w:sz w:val="28"/>
          <w:szCs w:val="28"/>
        </w:rPr>
        <w:t xml:space="preserve">1 mole </w:t>
      </w:r>
      <w:r w:rsidRPr="006837E2">
        <w:rPr>
          <w:rFonts w:ascii="Times New Roman" w:eastAsia="標楷體" w:hAnsi="Times New Roman"/>
          <w:b/>
          <w:bCs/>
          <w:sz w:val="28"/>
          <w:szCs w:val="28"/>
        </w:rPr>
        <w:t>電子的電量，換算成</w:t>
      </w:r>
      <w:r w:rsidR="009A7FA0" w:rsidRPr="006837E2">
        <w:rPr>
          <w:rFonts w:ascii="Times New Roman" w:eastAsia="標楷體" w:hAnsi="Times New Roman"/>
          <w:b/>
          <w:bCs/>
          <w:sz w:val="28"/>
          <w:szCs w:val="28"/>
        </w:rPr>
        <w:t>多少</w:t>
      </w:r>
      <w:r w:rsidRPr="006837E2">
        <w:rPr>
          <w:rFonts w:ascii="Times New Roman" w:eastAsia="標楷體" w:hAnsi="Times New Roman"/>
          <w:b/>
          <w:bCs/>
          <w:sz w:val="28"/>
          <w:szCs w:val="28"/>
        </w:rPr>
        <w:t>Ah</w:t>
      </w:r>
      <w:r w:rsidRPr="006837E2">
        <w:rPr>
          <w:rFonts w:ascii="Times New Roman" w:eastAsia="標楷體" w:hAnsi="Times New Roman"/>
          <w:b/>
          <w:bCs/>
          <w:sz w:val="28"/>
          <w:szCs w:val="28"/>
        </w:rPr>
        <w:t>；</w:t>
      </w:r>
      <w:r w:rsidRPr="006837E2">
        <w:rPr>
          <w:rFonts w:ascii="Times New Roman" w:eastAsia="標楷體" w:hAnsi="Times New Roman"/>
          <w:b/>
          <w:bCs/>
          <w:sz w:val="28"/>
          <w:szCs w:val="28"/>
        </w:rPr>
        <w:t>(</w:t>
      </w:r>
      <w:r w:rsidRPr="006837E2">
        <w:rPr>
          <w:rFonts w:ascii="Times New Roman" w:eastAsia="標楷體" w:hAnsi="Times New Roman"/>
          <w:b/>
          <w:bCs/>
          <w:sz w:val="28"/>
          <w:szCs w:val="28"/>
        </w:rPr>
        <w:t>請呈現簡要計算過程</w:t>
      </w:r>
      <w:r w:rsidRPr="006837E2">
        <w:rPr>
          <w:rFonts w:ascii="Times New Roman" w:eastAsia="標楷體" w:hAnsi="Times New Roman"/>
          <w:b/>
          <w:bCs/>
          <w:sz w:val="28"/>
          <w:szCs w:val="28"/>
        </w:rPr>
        <w:t>)</w:t>
      </w:r>
    </w:p>
    <w:p w14:paraId="67540032" w14:textId="5B437538" w:rsidR="00326F58" w:rsidRDefault="006837E2" w:rsidP="005B2657">
      <w:pPr>
        <w:snapToGrid w:val="0"/>
        <w:ind w:left="360"/>
        <w:jc w:val="both"/>
        <w:rPr>
          <w:rFonts w:ascii="Times New Roman" w:eastAsia="標楷體" w:hAnsi="Times New Roman"/>
          <w:color w:val="5B9BD5" w:themeColor="accent1"/>
          <w:sz w:val="28"/>
          <w:szCs w:val="28"/>
        </w:rPr>
      </w:pPr>
      <w:r w:rsidRPr="006837E2"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 xml:space="preserve">1mole </w:t>
      </w:r>
      <w:r w:rsidRPr="006837E2"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電子的電量為</w:t>
      </w:r>
      <w:r w:rsidRPr="006837E2"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96500C</w:t>
      </w:r>
      <w:r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。</w:t>
      </w:r>
    </w:p>
    <w:p w14:paraId="79010D4C" w14:textId="0D20E2AB" w:rsidR="006837E2" w:rsidRDefault="006837E2" w:rsidP="005B2657">
      <w:pPr>
        <w:snapToGrid w:val="0"/>
        <w:ind w:left="360"/>
        <w:jc w:val="both"/>
        <w:rPr>
          <w:rFonts w:ascii="Times New Roman" w:eastAsia="標楷體" w:hAnsi="Times New Roman" w:hint="eastAsia"/>
          <w:color w:val="5B9BD5" w:themeColor="accent1"/>
          <w:sz w:val="28"/>
          <w:szCs w:val="28"/>
        </w:rPr>
      </w:pPr>
      <w:r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且因為</w:t>
      </w:r>
      <w:r w:rsidRPr="006837E2">
        <w:rPr>
          <w:rFonts w:ascii="Times New Roman" w:eastAsia="標楷體" w:hAnsi="Times New Roman"/>
          <w:color w:val="5B9BD5" w:themeColor="accent1"/>
          <w:sz w:val="28"/>
          <w:szCs w:val="28"/>
        </w:rPr>
        <w:t>1</w:t>
      </w:r>
      <w:r w:rsidRPr="006837E2">
        <w:rPr>
          <w:rFonts w:ascii="Times New Roman" w:eastAsia="標楷體" w:hAnsi="Times New Roman"/>
          <w:color w:val="5B9BD5" w:themeColor="accent1"/>
          <w:sz w:val="28"/>
          <w:szCs w:val="28"/>
        </w:rPr>
        <w:t>安培等於</w:t>
      </w:r>
      <w:r w:rsidRPr="006837E2">
        <w:rPr>
          <w:rFonts w:ascii="Times New Roman" w:eastAsia="標楷體" w:hAnsi="Times New Roman"/>
          <w:color w:val="5B9BD5" w:themeColor="accent1"/>
          <w:sz w:val="28"/>
          <w:szCs w:val="28"/>
        </w:rPr>
        <w:t>1</w:t>
      </w:r>
      <w:r w:rsidRPr="006837E2">
        <w:rPr>
          <w:rFonts w:ascii="Times New Roman" w:eastAsia="標楷體" w:hAnsi="Times New Roman"/>
          <w:color w:val="5B9BD5" w:themeColor="accent1"/>
          <w:sz w:val="28"/>
          <w:szCs w:val="28"/>
        </w:rPr>
        <w:t>庫侖</w:t>
      </w:r>
      <w:r w:rsidRPr="006837E2">
        <w:rPr>
          <w:rFonts w:ascii="Times New Roman" w:eastAsia="標楷體" w:hAnsi="Times New Roman"/>
          <w:color w:val="5B9BD5" w:themeColor="accent1"/>
          <w:sz w:val="28"/>
          <w:szCs w:val="28"/>
        </w:rPr>
        <w:t>/</w:t>
      </w:r>
      <w:r w:rsidRPr="006837E2">
        <w:rPr>
          <w:rFonts w:ascii="Times New Roman" w:eastAsia="標楷體" w:hAnsi="Times New Roman"/>
          <w:color w:val="5B9BD5" w:themeColor="accent1"/>
          <w:sz w:val="28"/>
          <w:szCs w:val="28"/>
        </w:rPr>
        <w:t>秒，因此</w:t>
      </w:r>
      <w:r w:rsidRPr="006837E2">
        <w:rPr>
          <w:rFonts w:ascii="Times New Roman" w:eastAsia="標楷體" w:hAnsi="Times New Roman"/>
          <w:color w:val="5B9BD5" w:themeColor="accent1"/>
          <w:sz w:val="28"/>
          <w:szCs w:val="28"/>
        </w:rPr>
        <w:t>1</w:t>
      </w:r>
      <w:r w:rsidRPr="006837E2">
        <w:rPr>
          <w:rFonts w:ascii="Times New Roman" w:eastAsia="標楷體" w:hAnsi="Times New Roman"/>
          <w:color w:val="5B9BD5" w:themeColor="accent1"/>
          <w:sz w:val="28"/>
          <w:szCs w:val="28"/>
        </w:rPr>
        <w:t>安培小時等於</w:t>
      </w:r>
      <w:r w:rsidRPr="006837E2">
        <w:rPr>
          <w:rFonts w:ascii="Times New Roman" w:eastAsia="標楷體" w:hAnsi="Times New Roman"/>
          <w:color w:val="5B9BD5" w:themeColor="accent1"/>
          <w:sz w:val="28"/>
          <w:szCs w:val="28"/>
        </w:rPr>
        <w:t>3600</w:t>
      </w:r>
      <w:r w:rsidRPr="006837E2">
        <w:rPr>
          <w:rFonts w:ascii="Times New Roman" w:eastAsia="標楷體" w:hAnsi="Times New Roman"/>
          <w:color w:val="5B9BD5" w:themeColor="accent1"/>
          <w:sz w:val="28"/>
          <w:szCs w:val="28"/>
        </w:rPr>
        <w:t>庫侖</w:t>
      </w:r>
    </w:p>
    <w:p w14:paraId="58E724CA" w14:textId="57B359FD" w:rsidR="006837E2" w:rsidRDefault="006837E2" w:rsidP="005B2657">
      <w:pPr>
        <w:snapToGrid w:val="0"/>
        <w:ind w:left="360"/>
        <w:jc w:val="both"/>
        <w:rPr>
          <w:rFonts w:ascii="Times New Roman" w:eastAsia="標楷體" w:hAnsi="Times New Roman"/>
          <w:color w:val="5B9BD5" w:themeColor="accent1"/>
          <w:sz w:val="28"/>
          <w:szCs w:val="28"/>
        </w:rPr>
      </w:pPr>
      <w:r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題目求</w:t>
      </w:r>
      <w:r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Ah/mole = (96500C/mole)/(3600C/Ah) = 26.8Ah/mole</w:t>
      </w:r>
    </w:p>
    <w:p w14:paraId="3511A162" w14:textId="77777777" w:rsidR="006837E2" w:rsidRDefault="006837E2" w:rsidP="005B2657">
      <w:pPr>
        <w:snapToGrid w:val="0"/>
        <w:ind w:left="360"/>
        <w:jc w:val="both"/>
        <w:rPr>
          <w:rFonts w:ascii="Times New Roman" w:eastAsia="標楷體" w:hAnsi="Times New Roman"/>
          <w:color w:val="5B9BD5" w:themeColor="accent1"/>
          <w:sz w:val="28"/>
          <w:szCs w:val="28"/>
        </w:rPr>
      </w:pPr>
    </w:p>
    <w:p w14:paraId="56B33F89" w14:textId="1F458AD5" w:rsidR="006837E2" w:rsidRPr="006837E2" w:rsidRDefault="006837E2" w:rsidP="005B2657">
      <w:pPr>
        <w:snapToGrid w:val="0"/>
        <w:ind w:left="360"/>
        <w:jc w:val="both"/>
        <w:rPr>
          <w:rFonts w:ascii="Times New Roman" w:eastAsia="標楷體" w:hAnsi="Times New Roman" w:hint="eastAsia"/>
          <w:color w:val="5B9BD5" w:themeColor="accent1"/>
          <w:sz w:val="28"/>
          <w:szCs w:val="28"/>
        </w:rPr>
      </w:pPr>
      <w:r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A:</w:t>
      </w:r>
      <w:r w:rsidRPr="006837E2"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約</w:t>
      </w:r>
      <w:r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26.8Ah</w:t>
      </w:r>
    </w:p>
    <w:p w14:paraId="1C987048" w14:textId="77777777" w:rsidR="00A0395C" w:rsidRPr="00685ABA" w:rsidRDefault="007420FE" w:rsidP="005B2657">
      <w:pPr>
        <w:numPr>
          <w:ilvl w:val="0"/>
          <w:numId w:val="1"/>
        </w:numPr>
        <w:snapToGrid w:val="0"/>
        <w:jc w:val="both"/>
        <w:rPr>
          <w:rFonts w:ascii="Times New Roman" w:eastAsia="標楷體" w:hAnsi="Times New Roman"/>
          <w:sz w:val="28"/>
          <w:szCs w:val="28"/>
        </w:rPr>
      </w:pPr>
      <w:r w:rsidRPr="006837E2">
        <w:rPr>
          <w:rFonts w:ascii="Times New Roman" w:eastAsia="標楷體" w:hAnsi="Times New Roman" w:hint="eastAsia"/>
          <w:b/>
          <w:bCs/>
          <w:sz w:val="28"/>
          <w:szCs w:val="28"/>
        </w:rPr>
        <w:t>以</w:t>
      </w:r>
      <w:bookmarkStart w:id="3" w:name="_Hlk164217542"/>
      <w:r w:rsidRPr="006837E2">
        <w:rPr>
          <w:rFonts w:ascii="Times New Roman" w:eastAsia="標楷體" w:hAnsi="Times New Roman" w:hint="eastAsia"/>
          <w:b/>
          <w:bCs/>
          <w:sz w:val="28"/>
          <w:szCs w:val="28"/>
        </w:rPr>
        <w:t>Li</w:t>
      </w:r>
      <w:r w:rsidRPr="006837E2">
        <w:rPr>
          <w:rFonts w:ascii="Times New Roman" w:eastAsia="標楷體" w:hAnsi="Times New Roman"/>
          <w:b/>
          <w:bCs/>
          <w:sz w:val="28"/>
          <w:szCs w:val="28"/>
        </w:rPr>
        <w:t>CoO</w:t>
      </w:r>
      <w:bookmarkEnd w:id="3"/>
      <w:r w:rsidRPr="006837E2">
        <w:rPr>
          <w:rFonts w:ascii="Times New Roman" w:eastAsia="標楷體" w:hAnsi="Times New Roman"/>
          <w:b/>
          <w:bCs/>
          <w:sz w:val="28"/>
          <w:szCs w:val="28"/>
          <w:vertAlign w:val="subscript"/>
        </w:rPr>
        <w:t>2</w:t>
      </w:r>
      <w:r w:rsidRPr="006837E2">
        <w:rPr>
          <w:rFonts w:ascii="Times New Roman" w:eastAsia="標楷體" w:hAnsi="Times New Roman"/>
          <w:b/>
          <w:bCs/>
          <w:sz w:val="28"/>
          <w:szCs w:val="28"/>
        </w:rPr>
        <w:t>作為</w:t>
      </w:r>
      <w:r w:rsidR="00A0395C" w:rsidRPr="006837E2">
        <w:rPr>
          <w:rFonts w:ascii="Times New Roman" w:eastAsia="標楷體" w:hAnsi="Times New Roman"/>
          <w:b/>
          <w:bCs/>
          <w:sz w:val="28"/>
          <w:szCs w:val="28"/>
        </w:rPr>
        <w:t>鋰離子</w:t>
      </w:r>
      <w:r w:rsidR="00326F58" w:rsidRPr="006837E2">
        <w:rPr>
          <w:rFonts w:ascii="Times New Roman" w:eastAsia="標楷體" w:hAnsi="Times New Roman"/>
          <w:b/>
          <w:bCs/>
          <w:sz w:val="28"/>
          <w:szCs w:val="28"/>
        </w:rPr>
        <w:t>電池正極材料，</w:t>
      </w:r>
      <w:r w:rsidR="00F21C00" w:rsidRPr="006837E2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="00F21C00" w:rsidRPr="006837E2">
        <w:rPr>
          <w:rFonts w:ascii="Times New Roman" w:eastAsia="標楷體" w:hAnsi="Times New Roman"/>
          <w:b/>
          <w:bCs/>
          <w:sz w:val="28"/>
          <w:szCs w:val="28"/>
        </w:rPr>
        <w:t xml:space="preserve">i) </w:t>
      </w:r>
      <w:r w:rsidR="00F21C00" w:rsidRPr="006837E2">
        <w:rPr>
          <w:rFonts w:ascii="Times New Roman" w:eastAsia="標楷體" w:hAnsi="Times New Roman"/>
          <w:b/>
          <w:bCs/>
          <w:sz w:val="28"/>
          <w:szCs w:val="28"/>
        </w:rPr>
        <w:t>請列出</w:t>
      </w:r>
      <w:r w:rsidR="007E10E7" w:rsidRPr="006837E2">
        <w:rPr>
          <w:rFonts w:ascii="Times New Roman" w:eastAsia="標楷體" w:hAnsi="Times New Roman" w:hint="eastAsia"/>
          <w:b/>
          <w:bCs/>
          <w:sz w:val="28"/>
          <w:szCs w:val="28"/>
        </w:rPr>
        <w:t>Li</w:t>
      </w:r>
      <w:r w:rsidR="007E10E7" w:rsidRPr="006837E2">
        <w:rPr>
          <w:rFonts w:ascii="Times New Roman" w:eastAsia="標楷體" w:hAnsi="Times New Roman" w:hint="eastAsia"/>
          <w:b/>
          <w:bCs/>
          <w:sz w:val="28"/>
          <w:szCs w:val="28"/>
        </w:rPr>
        <w:t>，</w:t>
      </w:r>
      <w:r w:rsidR="007E10E7" w:rsidRPr="006837E2">
        <w:rPr>
          <w:rFonts w:ascii="Times New Roman" w:eastAsia="標楷體" w:hAnsi="Times New Roman"/>
          <w:b/>
          <w:bCs/>
          <w:sz w:val="28"/>
          <w:szCs w:val="28"/>
        </w:rPr>
        <w:t>Co</w:t>
      </w:r>
      <w:r w:rsidR="007E10E7" w:rsidRPr="006837E2">
        <w:rPr>
          <w:rFonts w:ascii="Times New Roman" w:eastAsia="標楷體" w:hAnsi="Times New Roman" w:hint="eastAsia"/>
          <w:b/>
          <w:bCs/>
          <w:sz w:val="28"/>
          <w:szCs w:val="28"/>
        </w:rPr>
        <w:t>，</w:t>
      </w:r>
      <w:r w:rsidR="007E10E7" w:rsidRPr="006837E2">
        <w:rPr>
          <w:rFonts w:ascii="Times New Roman" w:eastAsia="標楷體" w:hAnsi="Times New Roman"/>
          <w:b/>
          <w:bCs/>
          <w:sz w:val="28"/>
          <w:szCs w:val="28"/>
        </w:rPr>
        <w:t>O</w:t>
      </w:r>
      <w:r w:rsidR="007E10E7" w:rsidRPr="006837E2">
        <w:rPr>
          <w:rFonts w:ascii="Times New Roman" w:eastAsia="標楷體" w:hAnsi="Times New Roman" w:hint="eastAsia"/>
          <w:b/>
          <w:bCs/>
          <w:sz w:val="28"/>
          <w:szCs w:val="28"/>
        </w:rPr>
        <w:t>三</w:t>
      </w:r>
      <w:r w:rsidR="00F21C00" w:rsidRPr="006837E2">
        <w:rPr>
          <w:rFonts w:ascii="Times New Roman" w:eastAsia="標楷體" w:hAnsi="Times New Roman"/>
          <w:b/>
          <w:bCs/>
          <w:sz w:val="28"/>
          <w:szCs w:val="28"/>
        </w:rPr>
        <w:t>種離子</w:t>
      </w:r>
      <w:r w:rsidR="007E10E7" w:rsidRPr="006837E2">
        <w:rPr>
          <w:rFonts w:ascii="Times New Roman" w:eastAsia="標楷體" w:hAnsi="Times New Roman" w:hint="eastAsia"/>
          <w:b/>
          <w:bCs/>
          <w:sz w:val="28"/>
          <w:szCs w:val="28"/>
        </w:rPr>
        <w:t>中，何者為提供電子貢獻者</w:t>
      </w:r>
      <w:r w:rsidR="00F21C00" w:rsidRPr="006837E2">
        <w:rPr>
          <w:rFonts w:ascii="Times New Roman" w:eastAsia="標楷體" w:hAnsi="Times New Roman"/>
          <w:b/>
          <w:bCs/>
          <w:sz w:val="28"/>
          <w:szCs w:val="28"/>
        </w:rPr>
        <w:t>? (</w:t>
      </w:r>
      <w:r w:rsidR="00F21C00" w:rsidRPr="006837E2">
        <w:rPr>
          <w:rFonts w:ascii="Times New Roman" w:eastAsia="標楷體" w:hAnsi="Times New Roman" w:hint="eastAsia"/>
          <w:b/>
          <w:bCs/>
          <w:sz w:val="28"/>
          <w:szCs w:val="28"/>
        </w:rPr>
        <w:t>i</w:t>
      </w:r>
      <w:r w:rsidR="00F21C00" w:rsidRPr="006837E2">
        <w:rPr>
          <w:rFonts w:ascii="Times New Roman" w:eastAsia="標楷體" w:hAnsi="Times New Roman"/>
          <w:b/>
          <w:bCs/>
          <w:sz w:val="28"/>
          <w:szCs w:val="28"/>
        </w:rPr>
        <w:t xml:space="preserve">i) </w:t>
      </w:r>
      <w:r w:rsidR="007E10E7" w:rsidRPr="006837E2">
        <w:rPr>
          <w:rFonts w:ascii="Times New Roman" w:eastAsia="標楷體" w:hAnsi="Times New Roman" w:hint="eastAsia"/>
          <w:b/>
          <w:bCs/>
          <w:sz w:val="28"/>
          <w:szCs w:val="28"/>
        </w:rPr>
        <w:t>分別說明在充電及放電</w:t>
      </w:r>
      <w:r w:rsidR="007E10E7" w:rsidRPr="006837E2">
        <w:rPr>
          <w:rFonts w:ascii="Times New Roman" w:eastAsia="標楷體" w:hAnsi="Times New Roman"/>
          <w:b/>
          <w:bCs/>
          <w:sz w:val="28"/>
          <w:szCs w:val="28"/>
        </w:rPr>
        <w:t>過程中，產生何種反應及其價數是如何變化</w:t>
      </w:r>
      <w:r w:rsidR="007E10E7" w:rsidRPr="006837E2">
        <w:rPr>
          <w:rFonts w:ascii="Times New Roman" w:eastAsia="標楷體" w:hAnsi="Times New Roman"/>
          <w:b/>
          <w:bCs/>
          <w:sz w:val="28"/>
          <w:szCs w:val="28"/>
        </w:rPr>
        <w:t>?</w:t>
      </w:r>
    </w:p>
    <w:p w14:paraId="1F184623" w14:textId="2933A2DE" w:rsidR="00FE6C26" w:rsidRDefault="00321F1D" w:rsidP="00321F1D">
      <w:pPr>
        <w:pStyle w:val="a7"/>
        <w:numPr>
          <w:ilvl w:val="0"/>
          <w:numId w:val="3"/>
        </w:numPr>
        <w:snapToGrid w:val="0"/>
        <w:ind w:leftChars="0"/>
        <w:rPr>
          <w:rFonts w:ascii="Times New Roman" w:eastAsia="標楷體" w:hAnsi="Times New Roman"/>
          <w:color w:val="5B9BD5" w:themeColor="accent1"/>
          <w:sz w:val="28"/>
          <w:szCs w:val="28"/>
        </w:rPr>
      </w:pPr>
      <w:r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鈷</w:t>
      </w:r>
      <w:r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(Co)</w:t>
      </w:r>
      <w:r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為電子貢獻者</w:t>
      </w:r>
    </w:p>
    <w:p w14:paraId="0B686684" w14:textId="1468BEAF" w:rsidR="00321F1D" w:rsidRDefault="00321F1D" w:rsidP="00321F1D">
      <w:pPr>
        <w:pStyle w:val="a7"/>
        <w:numPr>
          <w:ilvl w:val="0"/>
          <w:numId w:val="3"/>
        </w:numPr>
        <w:snapToGrid w:val="0"/>
        <w:ind w:leftChars="0"/>
        <w:rPr>
          <w:rFonts w:ascii="Times New Roman" w:eastAsia="標楷體" w:hAnsi="Times New Roman"/>
          <w:color w:val="5B9BD5" w:themeColor="accent1"/>
          <w:sz w:val="28"/>
          <w:szCs w:val="28"/>
        </w:rPr>
      </w:pPr>
      <w:r w:rsidRPr="00321F1D"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放電過程中，鋰離子嵌入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</w:rPr>
        <w:t>LiCoO₂</w:t>
      </w:r>
      <w:r w:rsidRPr="00321F1D"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，鈷從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</w:rPr>
        <w:t>+4</w:t>
      </w:r>
      <w:r w:rsidRPr="00321F1D"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還原為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</w:rPr>
        <w:t>+3</w:t>
      </w:r>
    </w:p>
    <w:p w14:paraId="6C749B7B" w14:textId="51A766A0" w:rsidR="00321F1D" w:rsidRDefault="00321F1D" w:rsidP="00321F1D">
      <w:pPr>
        <w:pStyle w:val="a7"/>
        <w:snapToGrid w:val="0"/>
        <w:ind w:leftChars="0" w:left="1200"/>
        <w:rPr>
          <w:rFonts w:ascii="Times New Roman" w:eastAsia="標楷體" w:hAnsi="Times New Roman" w:hint="eastAsia"/>
          <w:color w:val="5B9BD5" w:themeColor="accent1"/>
          <w:sz w:val="28"/>
          <w:szCs w:val="28"/>
        </w:rPr>
      </w:pPr>
      <w:r w:rsidRPr="00321F1D">
        <w:rPr>
          <w:rFonts w:ascii="Times New Roman" w:eastAsia="標楷體" w:hAnsi="Times New Roman"/>
          <w:color w:val="5B9BD5" w:themeColor="accent1"/>
          <w:sz w:val="28"/>
          <w:szCs w:val="28"/>
        </w:rPr>
        <w:t>Li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  <w:vertAlign w:val="subscript"/>
        </w:rPr>
        <w:t>1−x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</w:rPr>
        <w:t>CoO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  <w:vertAlign w:val="subscript"/>
        </w:rPr>
        <w:t>2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</w:rPr>
        <w:t>​+xLi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  <w:vertAlign w:val="superscript"/>
        </w:rPr>
        <w:t>+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</w:rPr>
        <w:t>+xe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  <w:vertAlign w:val="superscript"/>
        </w:rPr>
        <w:t>−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</w:rPr>
        <w:t>→LiCoO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  <w:vertAlign w:val="subscript"/>
        </w:rPr>
        <w:t>2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</w:rPr>
        <w:t>​</w:t>
      </w:r>
      <w:r w:rsidRPr="00321F1D"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；</w:t>
      </w:r>
    </w:p>
    <w:p w14:paraId="27C3B8BE" w14:textId="06692977" w:rsidR="00321F1D" w:rsidRDefault="00321F1D" w:rsidP="00321F1D">
      <w:pPr>
        <w:pStyle w:val="a7"/>
        <w:snapToGrid w:val="0"/>
        <w:ind w:leftChars="0" w:left="1200"/>
        <w:rPr>
          <w:rFonts w:ascii="Times New Roman" w:eastAsia="標楷體" w:hAnsi="Times New Roman"/>
          <w:color w:val="5B9BD5" w:themeColor="accent1"/>
          <w:sz w:val="28"/>
          <w:szCs w:val="28"/>
        </w:rPr>
      </w:pPr>
      <w:r w:rsidRPr="00321F1D"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充電過程中，鋰離子脫出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</w:rPr>
        <w:t>LiCoO₂</w:t>
      </w:r>
      <w:r w:rsidRPr="00321F1D"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，鈷從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</w:rPr>
        <w:t>+3</w:t>
      </w:r>
      <w:r w:rsidRPr="00321F1D"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氧化為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</w:rPr>
        <w:t>+4</w:t>
      </w:r>
    </w:p>
    <w:p w14:paraId="3C708917" w14:textId="2AAAACD4" w:rsidR="00321F1D" w:rsidRPr="00321F1D" w:rsidRDefault="00321F1D" w:rsidP="00321F1D">
      <w:pPr>
        <w:pStyle w:val="a7"/>
        <w:snapToGrid w:val="0"/>
        <w:ind w:leftChars="0" w:left="1200"/>
        <w:rPr>
          <w:rFonts w:ascii="Times New Roman" w:eastAsia="標楷體" w:hAnsi="Times New Roman" w:hint="eastAsia"/>
          <w:color w:val="5B9BD5" w:themeColor="accent1"/>
          <w:sz w:val="28"/>
          <w:szCs w:val="28"/>
        </w:rPr>
      </w:pPr>
      <w:r w:rsidRPr="00321F1D">
        <w:rPr>
          <w:rFonts w:ascii="Times New Roman" w:eastAsia="標楷體" w:hAnsi="Times New Roman"/>
          <w:color w:val="5B9BD5" w:themeColor="accent1"/>
          <w:sz w:val="28"/>
          <w:szCs w:val="28"/>
        </w:rPr>
        <w:t>LiCoO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  <w:vertAlign w:val="subscript"/>
        </w:rPr>
        <w:t>2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</w:rPr>
        <w:t>​→Li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  <w:vertAlign w:val="subscript"/>
        </w:rPr>
        <w:t>1−x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</w:rPr>
        <w:t>​CoO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  <w:vertAlign w:val="subscript"/>
        </w:rPr>
        <w:t>2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</w:rPr>
        <w:t>​+xLi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  <w:vertAlign w:val="superscript"/>
        </w:rPr>
        <w:t>+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</w:rPr>
        <w:t>+xe</w:t>
      </w:r>
      <w:r w:rsidRPr="00321F1D">
        <w:rPr>
          <w:rFonts w:ascii="Times New Roman" w:eastAsia="標楷體" w:hAnsi="Times New Roman"/>
          <w:color w:val="5B9BD5" w:themeColor="accent1"/>
          <w:sz w:val="28"/>
          <w:szCs w:val="28"/>
          <w:vertAlign w:val="superscript"/>
        </w:rPr>
        <w:t>−</w:t>
      </w:r>
    </w:p>
    <w:p w14:paraId="0147673D" w14:textId="77777777" w:rsidR="00A0395C" w:rsidRPr="00685ABA" w:rsidRDefault="00F21C00" w:rsidP="005B2657">
      <w:pPr>
        <w:numPr>
          <w:ilvl w:val="0"/>
          <w:numId w:val="1"/>
        </w:numPr>
        <w:snapToGrid w:val="0"/>
        <w:jc w:val="both"/>
        <w:rPr>
          <w:rFonts w:ascii="Times New Roman" w:eastAsia="標楷體" w:hAnsi="Times New Roman"/>
          <w:sz w:val="28"/>
          <w:szCs w:val="28"/>
        </w:rPr>
      </w:pPr>
      <w:r w:rsidRPr="006837E2">
        <w:rPr>
          <w:rFonts w:ascii="Times New Roman" w:eastAsia="標楷體" w:hAnsi="Times New Roman"/>
          <w:b/>
          <w:bCs/>
          <w:sz w:val="28"/>
          <w:szCs w:val="28"/>
        </w:rPr>
        <w:t>(</w:t>
      </w:r>
      <w:r w:rsidR="007420FE" w:rsidRPr="006837E2">
        <w:rPr>
          <w:rFonts w:ascii="Times New Roman" w:eastAsia="標楷體" w:hAnsi="Times New Roman"/>
          <w:b/>
          <w:bCs/>
          <w:sz w:val="28"/>
          <w:szCs w:val="28"/>
        </w:rPr>
        <w:t>6</w:t>
      </w:r>
      <w:r w:rsidR="009A7FA0" w:rsidRPr="006837E2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="00D92BD2" w:rsidRPr="006837E2">
        <w:rPr>
          <w:rFonts w:ascii="Times New Roman" w:eastAsia="標楷體" w:hAnsi="Times New Roman"/>
          <w:b/>
          <w:bCs/>
          <w:sz w:val="28"/>
          <w:szCs w:val="28"/>
        </w:rPr>
        <w:t xml:space="preserve">%) </w:t>
      </w:r>
      <w:r w:rsidRPr="006837E2">
        <w:rPr>
          <w:rFonts w:ascii="Times New Roman" w:eastAsia="標楷體" w:hAnsi="Times New Roman"/>
          <w:b/>
          <w:bCs/>
          <w:sz w:val="28"/>
          <w:szCs w:val="28"/>
        </w:rPr>
        <w:t>請計算以</w:t>
      </w:r>
      <w:r w:rsidR="007E10E7" w:rsidRPr="006837E2">
        <w:rPr>
          <w:rFonts w:ascii="Times New Roman" w:eastAsia="標楷體" w:hAnsi="Times New Roman" w:hint="eastAsia"/>
          <w:b/>
          <w:bCs/>
          <w:sz w:val="28"/>
          <w:szCs w:val="28"/>
        </w:rPr>
        <w:t>錳</w:t>
      </w:r>
      <w:r w:rsidRPr="006837E2">
        <w:rPr>
          <w:rFonts w:ascii="Times New Roman" w:eastAsia="標楷體" w:hAnsi="Times New Roman" w:hint="eastAsia"/>
          <w:b/>
          <w:bCs/>
          <w:sz w:val="28"/>
          <w:szCs w:val="28"/>
        </w:rPr>
        <w:t>酸鋰</w:t>
      </w:r>
      <w:r w:rsidR="00A0395C" w:rsidRPr="006837E2">
        <w:rPr>
          <w:rFonts w:ascii="Times New Roman" w:eastAsia="標楷體" w:hAnsi="Times New Roman"/>
          <w:b/>
          <w:bCs/>
          <w:sz w:val="28"/>
          <w:szCs w:val="28"/>
        </w:rPr>
        <w:t>(</w:t>
      </w:r>
      <w:r w:rsidR="00C20247" w:rsidRPr="006837E2">
        <w:rPr>
          <w:rFonts w:ascii="Times New Roman" w:eastAsia="標楷體" w:hAnsi="Times New Roman"/>
          <w:b/>
          <w:bCs/>
          <w:sz w:val="28"/>
          <w:szCs w:val="28"/>
        </w:rPr>
        <w:t>Li</w:t>
      </w:r>
      <w:r w:rsidR="007E10E7" w:rsidRPr="006837E2">
        <w:rPr>
          <w:rFonts w:ascii="Times New Roman" w:eastAsia="標楷體" w:hAnsi="Times New Roman"/>
          <w:b/>
          <w:bCs/>
          <w:sz w:val="28"/>
          <w:szCs w:val="28"/>
        </w:rPr>
        <w:t>Mn</w:t>
      </w:r>
      <w:r w:rsidR="007E10E7" w:rsidRPr="006837E2">
        <w:rPr>
          <w:rFonts w:ascii="Times New Roman" w:eastAsia="標楷體" w:hAnsi="Times New Roman"/>
          <w:b/>
          <w:bCs/>
          <w:sz w:val="28"/>
          <w:szCs w:val="28"/>
          <w:vertAlign w:val="subscript"/>
        </w:rPr>
        <w:t>2</w:t>
      </w:r>
      <w:r w:rsidR="007E10E7" w:rsidRPr="006837E2">
        <w:rPr>
          <w:rFonts w:ascii="Times New Roman" w:eastAsia="標楷體" w:hAnsi="Times New Roman"/>
          <w:b/>
          <w:bCs/>
          <w:sz w:val="28"/>
          <w:szCs w:val="28"/>
        </w:rPr>
        <w:t>O</w:t>
      </w:r>
      <w:r w:rsidR="00C20247" w:rsidRPr="006837E2">
        <w:rPr>
          <w:rFonts w:ascii="Times New Roman" w:eastAsia="標楷體" w:hAnsi="Times New Roman"/>
          <w:b/>
          <w:bCs/>
          <w:sz w:val="28"/>
          <w:szCs w:val="28"/>
          <w:vertAlign w:val="subscript"/>
        </w:rPr>
        <w:t>4</w:t>
      </w:r>
      <w:r w:rsidR="00A0395C" w:rsidRPr="006837E2">
        <w:rPr>
          <w:rFonts w:ascii="Times New Roman" w:eastAsia="標楷體" w:hAnsi="Times New Roman"/>
          <w:b/>
          <w:bCs/>
          <w:sz w:val="28"/>
          <w:szCs w:val="28"/>
        </w:rPr>
        <w:t>)</w:t>
      </w:r>
      <w:r w:rsidR="00A0395C" w:rsidRPr="006837E2">
        <w:rPr>
          <w:rFonts w:ascii="Times New Roman" w:eastAsia="標楷體" w:hAnsi="Times New Roman"/>
          <w:b/>
          <w:bCs/>
          <w:sz w:val="28"/>
          <w:szCs w:val="28"/>
        </w:rPr>
        <w:t>作為鋰離子正極材料，其</w:t>
      </w:r>
      <w:r w:rsidRPr="006837E2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Pr="006837E2">
        <w:rPr>
          <w:rFonts w:ascii="Times New Roman" w:eastAsia="標楷體" w:hAnsi="Times New Roman"/>
          <w:b/>
          <w:bCs/>
          <w:sz w:val="28"/>
          <w:szCs w:val="28"/>
        </w:rPr>
        <w:t>i)</w:t>
      </w:r>
      <w:bookmarkStart w:id="4" w:name="_Hlk179995668"/>
      <w:r w:rsidR="00263088" w:rsidRPr="006837E2">
        <w:rPr>
          <w:rFonts w:ascii="Times New Roman" w:eastAsia="標楷體" w:hAnsi="Times New Roman"/>
          <w:b/>
          <w:bCs/>
          <w:sz w:val="28"/>
          <w:szCs w:val="28"/>
        </w:rPr>
        <w:t>克</w:t>
      </w:r>
      <w:r w:rsidR="00A0395C" w:rsidRPr="006837E2">
        <w:rPr>
          <w:rFonts w:ascii="Times New Roman" w:eastAsia="標楷體" w:hAnsi="Times New Roman"/>
          <w:b/>
          <w:bCs/>
          <w:sz w:val="28"/>
          <w:szCs w:val="28"/>
        </w:rPr>
        <w:t>電容量</w:t>
      </w:r>
      <w:bookmarkEnd w:id="4"/>
      <w:r w:rsidR="00263088" w:rsidRPr="006837E2">
        <w:rPr>
          <w:rFonts w:ascii="Times New Roman" w:eastAsia="標楷體" w:hAnsi="Times New Roman"/>
          <w:b/>
          <w:bCs/>
          <w:sz w:val="28"/>
          <w:szCs w:val="28"/>
        </w:rPr>
        <w:t>及</w:t>
      </w:r>
      <w:r w:rsidRPr="006837E2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="00263088" w:rsidRPr="006837E2">
        <w:rPr>
          <w:rFonts w:ascii="Times New Roman" w:eastAsia="標楷體" w:hAnsi="Times New Roman"/>
          <w:b/>
          <w:bCs/>
          <w:sz w:val="28"/>
          <w:szCs w:val="28"/>
        </w:rPr>
        <w:t>？</w:t>
      </w:r>
      <w:r w:rsidR="00A0395C" w:rsidRPr="006837E2">
        <w:rPr>
          <w:rFonts w:ascii="Times New Roman" w:eastAsia="標楷體" w:hAnsi="Times New Roman"/>
          <w:b/>
          <w:bCs/>
          <w:sz w:val="28"/>
          <w:szCs w:val="28"/>
        </w:rPr>
        <w:t>mAh/g</w:t>
      </w:r>
      <w:r w:rsidR="003F1AF4" w:rsidRPr="006837E2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</w:t>
      </w:r>
      <w:r w:rsidR="00A0395C" w:rsidRPr="006837E2">
        <w:rPr>
          <w:rFonts w:ascii="Times New Roman" w:eastAsia="標楷體" w:hAnsi="Times New Roman"/>
          <w:b/>
          <w:bCs/>
          <w:sz w:val="28"/>
          <w:szCs w:val="28"/>
        </w:rPr>
        <w:t>(</w:t>
      </w:r>
      <w:r w:rsidR="00A0395C" w:rsidRPr="006837E2">
        <w:rPr>
          <w:rFonts w:ascii="Times New Roman" w:eastAsia="標楷體" w:hAnsi="Times New Roman"/>
          <w:b/>
          <w:bCs/>
          <w:sz w:val="28"/>
          <w:szCs w:val="28"/>
        </w:rPr>
        <w:t>原子量分別為</w:t>
      </w:r>
      <w:r w:rsidR="00A0395C" w:rsidRPr="006837E2">
        <w:rPr>
          <w:rFonts w:ascii="Times New Roman" w:eastAsia="標楷體" w:hAnsi="Times New Roman"/>
          <w:b/>
          <w:bCs/>
          <w:sz w:val="28"/>
          <w:szCs w:val="28"/>
        </w:rPr>
        <w:t>Li=</w:t>
      </w:r>
      <w:r w:rsidR="00160765" w:rsidRPr="006837E2">
        <w:rPr>
          <w:rFonts w:ascii="Times New Roman" w:eastAsia="標楷體" w:hAnsi="Times New Roman"/>
          <w:b/>
          <w:bCs/>
          <w:sz w:val="28"/>
          <w:szCs w:val="28"/>
        </w:rPr>
        <w:t>6.9</w:t>
      </w:r>
      <w:r w:rsidR="00A0395C" w:rsidRPr="006837E2">
        <w:rPr>
          <w:rFonts w:ascii="Times New Roman" w:eastAsia="標楷體" w:hAnsi="Times New Roman"/>
          <w:b/>
          <w:bCs/>
          <w:sz w:val="28"/>
          <w:szCs w:val="28"/>
        </w:rPr>
        <w:t>，</w:t>
      </w:r>
      <w:r w:rsidR="0001379B" w:rsidRPr="006837E2">
        <w:rPr>
          <w:rFonts w:ascii="Times New Roman" w:eastAsia="標楷體" w:hAnsi="Times New Roman" w:hint="eastAsia"/>
          <w:b/>
          <w:bCs/>
          <w:sz w:val="28"/>
          <w:szCs w:val="28"/>
        </w:rPr>
        <w:t>M</w:t>
      </w:r>
      <w:r w:rsidR="0001379B" w:rsidRPr="006837E2">
        <w:rPr>
          <w:rFonts w:ascii="Times New Roman" w:eastAsia="標楷體" w:hAnsi="Times New Roman"/>
          <w:b/>
          <w:bCs/>
          <w:sz w:val="28"/>
          <w:szCs w:val="28"/>
        </w:rPr>
        <w:t>n</w:t>
      </w:r>
      <w:r w:rsidR="00A0395C" w:rsidRPr="006837E2">
        <w:rPr>
          <w:rFonts w:ascii="Times New Roman" w:eastAsia="標楷體" w:hAnsi="Times New Roman"/>
          <w:b/>
          <w:bCs/>
          <w:sz w:val="28"/>
          <w:szCs w:val="28"/>
        </w:rPr>
        <w:t>=</w:t>
      </w:r>
      <w:r w:rsidR="00C20247" w:rsidRPr="006837E2">
        <w:rPr>
          <w:rFonts w:ascii="Times New Roman" w:eastAsia="標楷體" w:hAnsi="Times New Roman"/>
          <w:b/>
          <w:bCs/>
          <w:sz w:val="28"/>
          <w:szCs w:val="28"/>
        </w:rPr>
        <w:t>55</w:t>
      </w:r>
      <w:r w:rsidRPr="00685ABA">
        <w:rPr>
          <w:rFonts w:ascii="Times New Roman" w:eastAsia="標楷體" w:hAnsi="Times New Roman"/>
          <w:sz w:val="28"/>
          <w:szCs w:val="28"/>
        </w:rPr>
        <w:t>，</w:t>
      </w:r>
    </w:p>
    <w:p w14:paraId="7E259DDA" w14:textId="2F1887E6" w:rsidR="00F4503D" w:rsidRDefault="00321F1D" w:rsidP="00321F1D">
      <w:pPr>
        <w:ind w:left="360"/>
        <w:rPr>
          <w:rFonts w:ascii="Times New Roman" w:eastAsia="標楷體" w:hAnsi="Times New Roman"/>
          <w:color w:val="5B9BD5" w:themeColor="accent1"/>
          <w:sz w:val="28"/>
          <w:szCs w:val="28"/>
        </w:rPr>
      </w:pPr>
      <w:r w:rsidRPr="00321F1D">
        <w:rPr>
          <w:rFonts w:ascii="Times New Roman" w:eastAsia="標楷體" w:hAnsi="Times New Roman"/>
          <w:color w:val="5B9BD5" w:themeColor="accent1"/>
          <w:sz w:val="28"/>
          <w:szCs w:val="28"/>
        </w:rPr>
        <w:t>M=6.9+(55×2)+(16×4)=6.9+110+64=180.9g/mol</w:t>
      </w:r>
    </w:p>
    <w:p w14:paraId="6B65747B" w14:textId="04C1C227" w:rsidR="00CD3304" w:rsidRDefault="00CD3304" w:rsidP="00321F1D">
      <w:pPr>
        <w:ind w:left="360"/>
        <w:rPr>
          <w:rFonts w:ascii="Times New Roman" w:eastAsia="標楷體" w:hAnsi="Times New Roman"/>
          <w:color w:val="5B9BD5" w:themeColor="accent1"/>
          <w:sz w:val="28"/>
          <w:szCs w:val="28"/>
        </w:rPr>
      </w:pPr>
      <w:r w:rsidRPr="00CD3304"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lastRenderedPageBreak/>
        <w:t>克電容量</w:t>
      </w:r>
      <w:r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 xml:space="preserve"> = (1*96500)/180.9 = </w:t>
      </w:r>
      <w:r w:rsidRPr="00CD3304">
        <w:rPr>
          <w:rFonts w:ascii="Times New Roman" w:eastAsia="標楷體" w:hAnsi="Times New Roman"/>
          <w:color w:val="5B9BD5" w:themeColor="accent1"/>
          <w:sz w:val="28"/>
          <w:szCs w:val="28"/>
        </w:rPr>
        <w:t>533.45C/g</w:t>
      </w:r>
      <w:r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 xml:space="preserve"> = </w:t>
      </w:r>
      <w:r w:rsidRPr="00CD3304">
        <w:rPr>
          <w:rFonts w:ascii="Times New Roman" w:eastAsia="標楷體" w:hAnsi="Times New Roman"/>
          <w:color w:val="5B9BD5" w:themeColor="accent1"/>
          <w:sz w:val="28"/>
          <w:szCs w:val="28"/>
        </w:rPr>
        <w:t>533.45</w:t>
      </w:r>
      <w:r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/3600</w:t>
      </w:r>
      <w:r w:rsidRPr="00CD3304">
        <w:rPr>
          <w:rFonts w:ascii="Times New Roman" w:eastAsia="標楷體" w:hAnsi="Times New Roman"/>
          <w:color w:val="5B9BD5" w:themeColor="accent1"/>
          <w:sz w:val="28"/>
          <w:szCs w:val="28"/>
        </w:rPr>
        <w:t>×1000=148.18mAh/g</w:t>
      </w:r>
    </w:p>
    <w:p w14:paraId="26BE3745" w14:textId="77777777" w:rsidR="00CD3304" w:rsidRDefault="00CD3304" w:rsidP="00321F1D">
      <w:pPr>
        <w:ind w:left="360"/>
        <w:rPr>
          <w:rFonts w:ascii="Times New Roman" w:eastAsia="標楷體" w:hAnsi="Times New Roman"/>
          <w:color w:val="5B9BD5" w:themeColor="accent1"/>
          <w:sz w:val="28"/>
          <w:szCs w:val="28"/>
        </w:rPr>
      </w:pPr>
    </w:p>
    <w:p w14:paraId="4122C4E8" w14:textId="36D408A4" w:rsidR="00CD3304" w:rsidRPr="00321F1D" w:rsidRDefault="00CD3304" w:rsidP="00321F1D">
      <w:pPr>
        <w:ind w:left="360"/>
        <w:rPr>
          <w:rFonts w:ascii="Times New Roman" w:eastAsia="標楷體" w:hAnsi="Times New Roman" w:hint="eastAsia"/>
          <w:color w:val="5B9BD5" w:themeColor="accent1"/>
          <w:sz w:val="28"/>
          <w:szCs w:val="28"/>
        </w:rPr>
      </w:pPr>
      <w:r>
        <w:rPr>
          <w:rFonts w:ascii="Times New Roman" w:eastAsia="標楷體" w:hAnsi="Times New Roman" w:hint="eastAsia"/>
          <w:color w:val="5B9BD5" w:themeColor="accent1"/>
          <w:sz w:val="28"/>
          <w:szCs w:val="28"/>
        </w:rPr>
        <w:t>A:</w:t>
      </w:r>
      <w:r w:rsidRPr="00CD3304">
        <w:rPr>
          <w:rFonts w:ascii="Times New Roman" w:eastAsia="標楷體" w:hAnsi="Times New Roman"/>
          <w:color w:val="5B9BD5" w:themeColor="accent1"/>
          <w:sz w:val="28"/>
          <w:szCs w:val="28"/>
        </w:rPr>
        <w:t xml:space="preserve"> </w:t>
      </w:r>
      <w:r w:rsidRPr="00CD3304">
        <w:rPr>
          <w:rFonts w:ascii="Times New Roman" w:eastAsia="標楷體" w:hAnsi="Times New Roman"/>
          <w:color w:val="5B9BD5" w:themeColor="accent1"/>
          <w:sz w:val="28"/>
          <w:szCs w:val="28"/>
        </w:rPr>
        <w:t>148.18mAh/g</w:t>
      </w:r>
    </w:p>
    <w:sectPr w:rsidR="00CD3304" w:rsidRPr="00321F1D" w:rsidSect="003B3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EDE66" w14:textId="77777777" w:rsidR="00407F0A" w:rsidRDefault="00407F0A" w:rsidP="00160765">
      <w:r>
        <w:separator/>
      </w:r>
    </w:p>
  </w:endnote>
  <w:endnote w:type="continuationSeparator" w:id="0">
    <w:p w14:paraId="62A38CBB" w14:textId="77777777" w:rsidR="00407F0A" w:rsidRDefault="00407F0A" w:rsidP="0016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FE89C" w14:textId="77777777" w:rsidR="00407F0A" w:rsidRDefault="00407F0A" w:rsidP="00160765">
      <w:r>
        <w:separator/>
      </w:r>
    </w:p>
  </w:footnote>
  <w:footnote w:type="continuationSeparator" w:id="0">
    <w:p w14:paraId="0836778A" w14:textId="77777777" w:rsidR="00407F0A" w:rsidRDefault="00407F0A" w:rsidP="00160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6481"/>
    <w:multiLevelType w:val="hybridMultilevel"/>
    <w:tmpl w:val="59E8A6F4"/>
    <w:lvl w:ilvl="0" w:tplc="7D8CFF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6653BD"/>
    <w:multiLevelType w:val="hybridMultilevel"/>
    <w:tmpl w:val="B6EAD576"/>
    <w:lvl w:ilvl="0" w:tplc="53126562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0BC4059"/>
    <w:multiLevelType w:val="hybridMultilevel"/>
    <w:tmpl w:val="BA8283EE"/>
    <w:lvl w:ilvl="0" w:tplc="0409000B">
      <w:start w:val="1"/>
      <w:numFmt w:val="bullet"/>
      <w:lvlText w:val=""/>
      <w:lvlJc w:val="left"/>
      <w:pPr>
        <w:ind w:left="142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8" w:hanging="480"/>
      </w:pPr>
      <w:rPr>
        <w:rFonts w:ascii="Wingdings" w:hAnsi="Wingdings" w:hint="default"/>
      </w:rPr>
    </w:lvl>
  </w:abstractNum>
  <w:abstractNum w:abstractNumId="3" w15:restartNumberingAfterBreak="0">
    <w:nsid w:val="11A75D15"/>
    <w:multiLevelType w:val="hybridMultilevel"/>
    <w:tmpl w:val="AB182F5C"/>
    <w:lvl w:ilvl="0" w:tplc="583C4C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8AFC67F4">
      <w:start w:val="1"/>
      <w:numFmt w:val="decimal"/>
      <w:lvlText w:val="(%2)"/>
      <w:lvlJc w:val="left"/>
      <w:pPr>
        <w:ind w:left="948" w:hanging="46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83262B"/>
    <w:multiLevelType w:val="hybridMultilevel"/>
    <w:tmpl w:val="7ADCD49C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4E5A15C6"/>
    <w:multiLevelType w:val="hybridMultilevel"/>
    <w:tmpl w:val="73248D14"/>
    <w:lvl w:ilvl="0" w:tplc="0409000B">
      <w:start w:val="1"/>
      <w:numFmt w:val="bullet"/>
      <w:lvlText w:val=""/>
      <w:lvlJc w:val="left"/>
      <w:pPr>
        <w:ind w:left="190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8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8" w:hanging="480"/>
      </w:pPr>
      <w:rPr>
        <w:rFonts w:ascii="Wingdings" w:hAnsi="Wingdings" w:hint="default"/>
      </w:rPr>
    </w:lvl>
  </w:abstractNum>
  <w:abstractNum w:abstractNumId="6" w15:restartNumberingAfterBreak="0">
    <w:nsid w:val="676432B7"/>
    <w:multiLevelType w:val="hybridMultilevel"/>
    <w:tmpl w:val="C5DC402A"/>
    <w:lvl w:ilvl="0" w:tplc="04090001">
      <w:start w:val="1"/>
      <w:numFmt w:val="bullet"/>
      <w:lvlText w:val=""/>
      <w:lvlJc w:val="left"/>
      <w:pPr>
        <w:ind w:left="142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8" w:hanging="480"/>
      </w:pPr>
      <w:rPr>
        <w:rFonts w:ascii="Wingdings" w:hAnsi="Wingdings" w:hint="default"/>
      </w:rPr>
    </w:lvl>
  </w:abstractNum>
  <w:num w:numId="1" w16cid:durableId="1788818903">
    <w:abstractNumId w:val="0"/>
  </w:num>
  <w:num w:numId="2" w16cid:durableId="2131581137">
    <w:abstractNumId w:val="3"/>
  </w:num>
  <w:num w:numId="3" w16cid:durableId="420105021">
    <w:abstractNumId w:val="1"/>
  </w:num>
  <w:num w:numId="4" w16cid:durableId="363793901">
    <w:abstractNumId w:val="6"/>
  </w:num>
  <w:num w:numId="5" w16cid:durableId="179784737">
    <w:abstractNumId w:val="5"/>
  </w:num>
  <w:num w:numId="6" w16cid:durableId="596406903">
    <w:abstractNumId w:val="2"/>
  </w:num>
  <w:num w:numId="7" w16cid:durableId="1954244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3D"/>
    <w:rsid w:val="0001379B"/>
    <w:rsid w:val="000518BA"/>
    <w:rsid w:val="0007082A"/>
    <w:rsid w:val="000748BE"/>
    <w:rsid w:val="00160765"/>
    <w:rsid w:val="001B2FC0"/>
    <w:rsid w:val="002179F6"/>
    <w:rsid w:val="00263088"/>
    <w:rsid w:val="002A192A"/>
    <w:rsid w:val="0031771B"/>
    <w:rsid w:val="00321F1D"/>
    <w:rsid w:val="00326F58"/>
    <w:rsid w:val="00341368"/>
    <w:rsid w:val="00361F17"/>
    <w:rsid w:val="00365EEE"/>
    <w:rsid w:val="003B3A92"/>
    <w:rsid w:val="003F1AF4"/>
    <w:rsid w:val="00407F0A"/>
    <w:rsid w:val="0044408F"/>
    <w:rsid w:val="005033E4"/>
    <w:rsid w:val="005B2657"/>
    <w:rsid w:val="00621720"/>
    <w:rsid w:val="006705F7"/>
    <w:rsid w:val="006837E2"/>
    <w:rsid w:val="00685ABA"/>
    <w:rsid w:val="006C4E2D"/>
    <w:rsid w:val="007152B4"/>
    <w:rsid w:val="007420FE"/>
    <w:rsid w:val="007A17BE"/>
    <w:rsid w:val="007E10E7"/>
    <w:rsid w:val="007F720F"/>
    <w:rsid w:val="00814146"/>
    <w:rsid w:val="008238D5"/>
    <w:rsid w:val="00840683"/>
    <w:rsid w:val="00922E7E"/>
    <w:rsid w:val="009446AF"/>
    <w:rsid w:val="009A7FA0"/>
    <w:rsid w:val="009C1FF1"/>
    <w:rsid w:val="00A0395C"/>
    <w:rsid w:val="00A14152"/>
    <w:rsid w:val="00A82D45"/>
    <w:rsid w:val="00AC2C18"/>
    <w:rsid w:val="00AC4AF1"/>
    <w:rsid w:val="00C20247"/>
    <w:rsid w:val="00C569B3"/>
    <w:rsid w:val="00C85688"/>
    <w:rsid w:val="00CD3304"/>
    <w:rsid w:val="00D16E3A"/>
    <w:rsid w:val="00D3165B"/>
    <w:rsid w:val="00D32153"/>
    <w:rsid w:val="00D92BD2"/>
    <w:rsid w:val="00E9073A"/>
    <w:rsid w:val="00EE4B0F"/>
    <w:rsid w:val="00F21C00"/>
    <w:rsid w:val="00F4503D"/>
    <w:rsid w:val="00F536C0"/>
    <w:rsid w:val="00F54587"/>
    <w:rsid w:val="00FA6269"/>
    <w:rsid w:val="00FE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29513"/>
  <w15:chartTrackingRefBased/>
  <w15:docId w15:val="{4C6A03C0-30BC-45A0-B685-DBF8E8B3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A92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7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60765"/>
    <w:rPr>
      <w:kern w:val="2"/>
    </w:rPr>
  </w:style>
  <w:style w:type="paragraph" w:styleId="a5">
    <w:name w:val="footer"/>
    <w:basedOn w:val="a"/>
    <w:link w:val="a6"/>
    <w:uiPriority w:val="99"/>
    <w:unhideWhenUsed/>
    <w:rsid w:val="001607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60765"/>
    <w:rPr>
      <w:kern w:val="2"/>
    </w:rPr>
  </w:style>
  <w:style w:type="paragraph" w:styleId="a7">
    <w:name w:val="List Paragraph"/>
    <w:basedOn w:val="a"/>
    <w:uiPriority w:val="34"/>
    <w:qFormat/>
    <w:rsid w:val="00FE6C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K.Z Fung</dc:creator>
  <cp:keywords/>
  <cp:lastModifiedBy>maosong Hung</cp:lastModifiedBy>
  <cp:revision>4</cp:revision>
  <dcterms:created xsi:type="dcterms:W3CDTF">2024-10-16T08:38:00Z</dcterms:created>
  <dcterms:modified xsi:type="dcterms:W3CDTF">2024-10-16T10:55:00Z</dcterms:modified>
</cp:coreProperties>
</file>