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1" w:type="dxa"/>
        <w:tblInd w:w="-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690"/>
        <w:gridCol w:w="956"/>
        <w:gridCol w:w="3015"/>
        <w:gridCol w:w="1234"/>
        <w:gridCol w:w="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ĐẠI HỌC QUỐC GIA THÀNH PHỐ HỒ CHÍ MINH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TRƯỜNG ĐẠI HỌC KHOA HỌC TỰ NHIÊN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  <w:trHeight w:val="1463" w:hRule="atLeast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KHOA CÔNG NGHỆ THÔNG 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  <w:trHeight w:val="5373" w:hRule="atLeast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  <w:r>
              <w:rPr>
                <w:rFonts w:ascii="Times New Roman" w:hAnsi="Times New Roman" w:eastAsia="SimSun" w:cs="Times New Roman"/>
                <w:kern w:val="2"/>
                <w:sz w:val="24"/>
                <w:lang w:val="en-US" w:eastAsia="zh-CN" w:bidi="ar-SA"/>
              </w:rPr>
              <w:pict>
                <v:shape id="Picture 1" o:spid="_x0000_s1026" type="#_x0000_t75" style="height:201.15pt;width:256pt;rotation:0f;" o:ole="f" fillcolor="#FFFFFF" filled="f" o:preferrelative="t" stroked="f" coordorigin="0,0" coordsize="21600,21600">
                  <v:fill on="f" color2="#FFFFFF" focus="0%"/>
                  <v:imagedata gain="65536f" blacklevel="0f" gamma="0" o:title="logo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 TOÀN VÀ PHỤC HỒI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  <w:trHeight w:val="1543" w:hRule="atLeast"/>
        </w:trPr>
        <w:tc>
          <w:tcPr>
            <w:tcW w:w="343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ĐỒ ÁN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5895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PHỤC HỒI TỐI THIỂU 2 LOẠI FILE ĐÃ MẤT THÔNG TIN MÔ TẢ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>
            <w:r>
              <w:t>GVLT:</w:t>
            </w:r>
          </w:p>
        </w:tc>
        <w:tc>
          <w:tcPr>
            <w:tcW w:w="4320" w:type="dxa"/>
            <w:gridSpan w:val="3"/>
            <w:tcBorders>
              <w:tl2br w:val="nil"/>
              <w:tr2bl w:val="nil"/>
            </w:tcBorders>
            <w:vAlign w:val="top"/>
          </w:tcPr>
          <w:p>
            <w:r>
              <w:t>Thầy Thái Hùng Văn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>
            <w:r>
              <w:t>SV:</w:t>
            </w:r>
          </w:p>
        </w:tc>
        <w:tc>
          <w:tcPr>
            <w:tcW w:w="3015" w:type="dxa"/>
            <w:tcBorders>
              <w:tl2br w:val="nil"/>
              <w:tr2bl w:val="nil"/>
            </w:tcBorders>
            <w:vAlign w:val="top"/>
          </w:tcPr>
          <w:p>
            <w:r>
              <w:t>Nguyễn Phan Mạnh Hùng</w:t>
            </w: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vAlign w:val="top"/>
          </w:tcPr>
          <w:p>
            <w:r>
              <w:t>1312727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3015" w:type="dxa"/>
            <w:tcBorders>
              <w:tl2br w:val="nil"/>
              <w:tr2bl w:val="nil"/>
            </w:tcBorders>
            <w:vAlign w:val="top"/>
          </w:tcPr>
          <w:p>
            <w:r>
              <w:t>Nguyễn Phước Đạt</w:t>
            </w: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vAlign w:val="top"/>
          </w:tcPr>
          <w:p>
            <w:r>
              <w:t>1312721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301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1305" w:type="dxa"/>
            <w:gridSpan w:val="2"/>
            <w:tcBorders>
              <w:tl2br w:val="nil"/>
              <w:tr2bl w:val="nil"/>
            </w:tcBorders>
            <w:vAlign w:val="top"/>
          </w:tcPr>
          <w:p/>
        </w:tc>
      </w:tr>
    </w:tbl>
    <w:p>
      <w:pPr>
        <w:rPr>
          <w:rFonts w:hint="default"/>
          <w:lang w:val="en-US"/>
        </w:rPr>
      </w:pPr>
      <w:r>
        <w:br w:type="page"/>
      </w:r>
      <w:r>
        <w:rPr>
          <w:rFonts w:hint="default"/>
          <w:b/>
          <w:bCs/>
          <w:lang w:val="en-US"/>
        </w:rPr>
        <w:t>Hướng dẫn sử dụng: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Khi khởi động, chương trình sẽ yêu cầu cung cấp quyền admin, hoặc người dùng cần chọn “Run as Administrator” để khởi động.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Chương trình cho phép phục hồi 2 loại file: wave và bitmap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Chạy chương trình:</w:t>
      </w:r>
    </w:p>
    <w:p>
      <w:r>
        <w:rPr>
          <w:rFonts w:hint="default"/>
          <w:lang w:val="en-US"/>
        </w:rPr>
        <w:t>- Bước 1: Nhập tên đĩa chứa file cần khôi phục</w:t>
      </w:r>
      <w:r>
        <w:rPr>
          <w:rFonts w:hint="default"/>
          <w:lang w:val="en-US"/>
        </w:rPr>
        <w:br/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5" o:spid="_x0000_s1027" type="#_x0000_t75" style="height:84.85pt;width:43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Người dùng cần nhập tên của đĩa cần đọc: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VD1:   &lt;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"\\\\.\\H:"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\\.\H</w:t>
      </w:r>
      <w:r>
        <w:rPr>
          <w:rFonts w:hint="default"/>
          <w:color w:val="FF0000"/>
          <w:lang w:val="en-US"/>
        </w:rPr>
        <w:t>: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&gt;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VD2:</w:t>
      </w:r>
      <w:r>
        <w:rPr>
          <w:rFonts w:hint="default"/>
          <w:lang w:val="en-US"/>
        </w:rPr>
        <w:tab/>
        <w:t xml:space="preserve"> &lt;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"\\\\.\\PhysicalDrive1."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\\.\PhysicalDrive1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(không bao gồm dấu “&lt;”, “&gt;”)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Lưu ý: ở ví dụ 1, khi đọc 1 volume, ta có dấu 2 chấm “:” ở cuối, nhưng ở ví dụ 2, khi đọc một đĩa vật lý, ta không có dấu “:”.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2: Nhập loại file cần khôi phục</w:t>
      </w:r>
      <w:r>
        <w:rPr>
          <w:rFonts w:hint="default"/>
          <w:lang w:val="en-US"/>
        </w:rPr>
        <w:br/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6" o:spid="_x0000_s1028" type="#_x0000_t75" style="height:71.1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lang w:val="en-US"/>
        </w:rPr>
        <w:t>Để</w:t>
      </w:r>
      <w:r>
        <w:rPr>
          <w:rFonts w:hint="default"/>
          <w:lang w:val="en-US"/>
        </w:rPr>
        <w:t xml:space="preserve"> khôi phục file bitmap, chọn 1.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Để khôi phục file wave, chọn 2.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Để khôi phục 2 loại file trên, chọn 3.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Nguồn tham khảo: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- </w:t>
      </w:r>
      <w:bookmarkStart w:id="0" w:name="_GoBack"/>
      <w:bookmarkEnd w:id="0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"https://msdn.microsoft.com/en-us/default.aspx"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MSDN</w:t>
      </w:r>
      <w:r>
        <w:rPr>
          <w:rFonts w:hint="default"/>
          <w:lang w:val="en-US"/>
        </w:rPr>
        <w:fldChar w:fldCharType="end"/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 w:line="240" w:lineRule="auto"/>
      <w:outlineLvl w:val="6"/>
    </w:pPr>
  </w:style>
  <w:style w:type="paragraph" w:styleId="9">
    <w:name w:val="heading 8"/>
    <w:basedOn w:val="1"/>
    <w:next w:val="1"/>
    <w:uiPriority w:val="0"/>
    <w:pPr>
      <w:keepNext/>
      <w:keepLines/>
      <w:spacing w:before="240" w:after="60" w:line="240" w:lineRule="auto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semiHidden/>
    <w:unhideWhenUsed/>
    <w:uiPriority w:val="1"/>
  </w:style>
  <w:style w:type="paragraph" w:styleId="11">
    <w:name w:val="caption"/>
    <w:basedOn w:val="1"/>
    <w:next w:val="1"/>
    <w:semiHidden/>
    <w:uiPriority w:val="0"/>
    <w:rPr>
      <w:rFonts w:ascii="Arial" w:hAnsi="Arial" w:eastAsia="SimHei" w:cs="Arial"/>
      <w:sz w:val="2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FollowedHyperlink"/>
    <w:basedOn w:val="14"/>
    <w:uiPriority w:val="0"/>
    <w:rPr>
      <w:color w:val="800080"/>
      <w:u w:val="single"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577</Words>
  <Characters>3289</Characters>
  <Lines>27</Lines>
  <Paragraphs>7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Dell</dc:creator>
  <cp:lastModifiedBy>Dell</cp:lastModifiedBy>
  <dcterms:modified xsi:type="dcterms:W3CDTF">2016-05-25T06:12:58Z</dcterms:modified>
  <dc:title>ĐẠI HỌC QUỐC GIA THÀNH PHỐ HỒ CHÍ MINH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