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46E7" w14:textId="77777777" w:rsidR="00970720" w:rsidRPr="00970720" w:rsidRDefault="00970720" w:rsidP="0097072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r w:rsidRPr="00970720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>Collective Brain — Tech Stack Report</w:t>
      </w:r>
    </w:p>
    <w:p w14:paraId="1CE10395" w14:textId="77777777" w:rsidR="00970720" w:rsidRPr="00970720" w:rsidRDefault="00970720" w:rsidP="00970720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Generated 2026-07-06 from the live codebase (</w:t>
      </w:r>
      <w:hyperlink r:id="rId5" w:history="1">
        <w:r w:rsidRPr="00970720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en-GB"/>
          </w:rPr>
          <w:t>hungnv26/collective-brain</w:t>
        </w:r>
      </w:hyperlink>
      <w:r w:rsidRPr="00970720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)</w:t>
      </w:r>
    </w:p>
    <w:p w14:paraId="7F5321C0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At a glance</w:t>
      </w:r>
    </w:p>
    <w:p w14:paraId="3342AC8D" w14:textId="77777777" w:rsidR="00970720" w:rsidRPr="00970720" w:rsidRDefault="00970720" w:rsidP="00970720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sz w:val="24"/>
          <w:szCs w:val="24"/>
          <w:lang w:eastAsia="en-GB"/>
        </w:rPr>
        <w:t>Full-stack TypeScript web app — a multi-tenant, permissioned knowledge graph with AI ingest + cited Q&amp;A. Single Next.js codebase (frontend + API), Supabase for data/auth, Claude for the AI.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425"/>
      </w:tblGrid>
      <w:tr w:rsidR="00970720" w:rsidRPr="00970720" w14:paraId="43C3FDBD" w14:textId="77777777" w:rsidTr="00970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262FC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AFC1525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70720" w:rsidRPr="00970720" w14:paraId="6345E3E4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1892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FBD7BDF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TypeScript 5 (strict)</w:t>
            </w:r>
          </w:p>
        </w:tc>
      </w:tr>
      <w:tr w:rsidR="00970720" w:rsidRPr="00970720" w14:paraId="633C93AB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7F6B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DD8DA53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Node.js 24.14 · pnpm 11.9</w:t>
            </w:r>
          </w:p>
        </w:tc>
      </w:tr>
      <w:tr w:rsidR="00970720" w:rsidRPr="00970720" w14:paraId="33C717A3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E815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F4922C0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~5,250 LOC · 71 TS/TSX files · 12 API routes · 6 SQL migrations · 47 tests</w:t>
            </w:r>
          </w:p>
        </w:tc>
      </w:tr>
      <w:tr w:rsidR="00970720" w:rsidRPr="00970720" w14:paraId="420CB4DC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93AA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Deploy target</w:t>
            </w:r>
          </w:p>
        </w:tc>
        <w:tc>
          <w:tcPr>
            <w:tcW w:w="0" w:type="auto"/>
            <w:vAlign w:val="center"/>
            <w:hideMark/>
          </w:tcPr>
          <w:p w14:paraId="4A47DD9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Vercel + Supabase (Sydney /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ap-southeast-2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</w:tr>
      <w:tr w:rsidR="00970720" w:rsidRPr="00970720" w14:paraId="30001601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2EF0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4FACB74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Public,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main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, 6 commits</w:t>
            </w:r>
          </w:p>
        </w:tc>
      </w:tr>
    </w:tbl>
    <w:p w14:paraId="0E58FDD5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Frontend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961"/>
        <w:gridCol w:w="5626"/>
      </w:tblGrid>
      <w:tr w:rsidR="00970720" w:rsidRPr="00970720" w14:paraId="449E8E4E" w14:textId="77777777" w:rsidTr="00970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E8337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2CC763F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E1419B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</w:tr>
      <w:tr w:rsidR="00970720" w:rsidRPr="00970720" w14:paraId="3CC20637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2C9E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7AAA5A8C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16.2.10</w:t>
            </w:r>
          </w:p>
        </w:tc>
        <w:tc>
          <w:tcPr>
            <w:tcW w:w="0" w:type="auto"/>
            <w:vAlign w:val="center"/>
            <w:hideMark/>
          </w:tcPr>
          <w:p w14:paraId="7460B30E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App Router, Turbopack, RSC + route handlers,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proxy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(middleware)</w:t>
            </w:r>
          </w:p>
        </w:tc>
      </w:tr>
      <w:tr w:rsidR="00970720" w:rsidRPr="00970720" w14:paraId="74B5FCFA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35A2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D9776E4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19.2.4</w:t>
            </w:r>
          </w:p>
        </w:tc>
        <w:tc>
          <w:tcPr>
            <w:tcW w:w="0" w:type="auto"/>
            <w:vAlign w:val="center"/>
            <w:hideMark/>
          </w:tcPr>
          <w:p w14:paraId="36B91060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Server + client components</w:t>
            </w:r>
          </w:p>
        </w:tc>
      </w:tr>
      <w:tr w:rsidR="00970720" w:rsidRPr="00970720" w14:paraId="5281A59C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F551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9EDC684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E5A89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Styling via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@tailwindcss/postcss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; design tokens (node-type colors, Inter/JetBrains Mono)</w:t>
            </w:r>
          </w:p>
        </w:tc>
      </w:tr>
      <w:tr w:rsidR="00970720" w:rsidRPr="00970720" w14:paraId="07ADA9F9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3C12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react-markdown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+ </w:t>
            </w: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remark-gfm</w:t>
            </w:r>
          </w:p>
        </w:tc>
        <w:tc>
          <w:tcPr>
            <w:tcW w:w="0" w:type="auto"/>
            <w:vAlign w:val="center"/>
            <w:hideMark/>
          </w:tcPr>
          <w:p w14:paraId="73FC55AE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10 / 4</w:t>
            </w:r>
          </w:p>
        </w:tc>
        <w:tc>
          <w:tcPr>
            <w:tcW w:w="0" w:type="auto"/>
            <w:vAlign w:val="center"/>
            <w:hideMark/>
          </w:tcPr>
          <w:p w14:paraId="326FD791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Safe markdown rendering (node bodies, answers) with wikilink rewriting</w:t>
            </w:r>
          </w:p>
        </w:tc>
      </w:tr>
    </w:tbl>
    <w:p w14:paraId="2C5E7632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Backend &amp;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081"/>
        <w:gridCol w:w="5558"/>
      </w:tblGrid>
      <w:tr w:rsidR="00970720" w:rsidRPr="00970720" w14:paraId="68350B21" w14:textId="77777777" w:rsidTr="00970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9339B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136D9A2D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EC07428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</w:tr>
      <w:tr w:rsidR="00970720" w:rsidRPr="00970720" w14:paraId="42464CF3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E0B5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Supabase</w:t>
            </w:r>
          </w:p>
        </w:tc>
        <w:tc>
          <w:tcPr>
            <w:tcW w:w="0" w:type="auto"/>
            <w:vAlign w:val="center"/>
            <w:hideMark/>
          </w:tcPr>
          <w:p w14:paraId="47D152ED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67196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Postgres 15 + Auth + Storage</w:t>
            </w:r>
          </w:p>
        </w:tc>
      </w:tr>
      <w:tr w:rsidR="00970720" w:rsidRPr="00970720" w14:paraId="29D17A6B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986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E5FBBF3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BA440C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 tables across 6 migrations; enums, triggers, generated columns</w:t>
            </w:r>
          </w:p>
        </w:tc>
      </w:tr>
      <w:tr w:rsidR="00970720" w:rsidRPr="00970720" w14:paraId="49933801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3096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Row-Level Security</w:t>
            </w:r>
          </w:p>
        </w:tc>
        <w:tc>
          <w:tcPr>
            <w:tcW w:w="0" w:type="auto"/>
            <w:vAlign w:val="center"/>
            <w:hideMark/>
          </w:tcPr>
          <w:p w14:paraId="401EE2E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F38DC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Default-deny on every table; permission helpers in a hidden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schema;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SECURITY INVOKER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/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DEFINER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RPCs. </w:t>
            </w: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The security core.</w:t>
            </w:r>
          </w:p>
        </w:tc>
      </w:tr>
      <w:tr w:rsidR="00970720" w:rsidRPr="00970720" w14:paraId="56E0D3C4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4C11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pgvector</w:t>
            </w:r>
          </w:p>
        </w:tc>
        <w:tc>
          <w:tcPr>
            <w:tcW w:w="0" w:type="auto"/>
            <w:vAlign w:val="center"/>
            <w:hideMark/>
          </w:tcPr>
          <w:p w14:paraId="17EAE984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0D2F6B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vector(384)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embeddings + HNSW cosine index</w:t>
            </w:r>
          </w:p>
        </w:tc>
      </w:tr>
      <w:tr w:rsidR="00970720" w:rsidRPr="00970720" w14:paraId="77FC0820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F361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Postgres FTS</w:t>
            </w:r>
          </w:p>
        </w:tc>
        <w:tc>
          <w:tcPr>
            <w:tcW w:w="0" w:type="auto"/>
            <w:vAlign w:val="center"/>
            <w:hideMark/>
          </w:tcPr>
          <w:p w14:paraId="600D764D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804C4C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tsvector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generated column + GIN for keyword search</w:t>
            </w:r>
          </w:p>
        </w:tc>
      </w:tr>
      <w:tr w:rsidR="00970720" w:rsidRPr="00970720" w14:paraId="2900A35C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B1E2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lastRenderedPageBreak/>
              <w:t>@supabase/ssr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+ </w:t>
            </w: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supabase-js</w:t>
            </w:r>
          </w:p>
        </w:tc>
        <w:tc>
          <w:tcPr>
            <w:tcW w:w="0" w:type="auto"/>
            <w:vAlign w:val="center"/>
            <w:hideMark/>
          </w:tcPr>
          <w:p w14:paraId="5344E120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0.12 / 2.110</w:t>
            </w:r>
          </w:p>
        </w:tc>
        <w:tc>
          <w:tcPr>
            <w:tcW w:w="0" w:type="auto"/>
            <w:vAlign w:val="center"/>
            <w:hideMark/>
          </w:tcPr>
          <w:p w14:paraId="147D610B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Cookie-based SSR auth clients; magic-link + Google OAuth</w:t>
            </w:r>
          </w:p>
        </w:tc>
      </w:tr>
      <w:tr w:rsidR="00970720" w:rsidRPr="00970720" w14:paraId="2E0A89F4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DB63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2EF82C13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BF96D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Validated API boundaries</w:t>
            </w:r>
          </w:p>
        </w:tc>
      </w:tr>
    </w:tbl>
    <w:p w14:paraId="655B12EF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961"/>
        <w:gridCol w:w="6318"/>
      </w:tblGrid>
      <w:tr w:rsidR="00970720" w:rsidRPr="00970720" w14:paraId="5BE715B9" w14:textId="77777777" w:rsidTr="00970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23BA1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4E68366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A4BE042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</w:tr>
      <w:tr w:rsidR="00970720" w:rsidRPr="00970720" w14:paraId="13C7E17A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3A91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@anthropic-ai/sdk</w:t>
            </w:r>
          </w:p>
        </w:tc>
        <w:tc>
          <w:tcPr>
            <w:tcW w:w="0" w:type="auto"/>
            <w:vAlign w:val="center"/>
            <w:hideMark/>
          </w:tcPr>
          <w:p w14:paraId="6D8896C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0.110</w:t>
            </w:r>
          </w:p>
        </w:tc>
        <w:tc>
          <w:tcPr>
            <w:tcW w:w="0" w:type="auto"/>
            <w:vAlign w:val="center"/>
            <w:hideMark/>
          </w:tcPr>
          <w:p w14:paraId="2C0D42C9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Claude integration</w:t>
            </w:r>
          </w:p>
        </w:tc>
      </w:tr>
      <w:tr w:rsidR="00970720" w:rsidRPr="00970720" w14:paraId="2107CA93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D19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claude-opus-4-8</w:t>
            </w:r>
          </w:p>
        </w:tc>
        <w:tc>
          <w:tcPr>
            <w:tcW w:w="0" w:type="auto"/>
            <w:vAlign w:val="center"/>
            <w:hideMark/>
          </w:tcPr>
          <w:p w14:paraId="0A72B0FA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FC2AED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Distillation (forced tool-use → structured nodes) + Ask answers (SSE streaming); model configurable via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CB_DISTILL_MODEL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/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CB_ANSWER_MODEL</w:t>
            </w:r>
          </w:p>
        </w:tc>
      </w:tr>
      <w:tr w:rsidR="00970720" w:rsidRPr="00970720" w14:paraId="5A662298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2246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476AC1A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57B51EA9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Dependency-free 384-dim feature-hash embedder (deterministic, offline) — pluggable for a neural model</w:t>
            </w:r>
          </w:p>
        </w:tc>
      </w:tr>
      <w:tr w:rsidR="00970720" w:rsidRPr="00970720" w14:paraId="73B39D53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BF6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0053BE93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27C2B55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Hybrid: pgvector + keyword FTS fused via reciprocal-rank fusion + 1-hop link expansion</w:t>
            </w:r>
          </w:p>
        </w:tc>
      </w:tr>
    </w:tbl>
    <w:p w14:paraId="4CA775C2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961"/>
        <w:gridCol w:w="7266"/>
      </w:tblGrid>
      <w:tr w:rsidR="00970720" w:rsidRPr="00970720" w14:paraId="3CE5ED7B" w14:textId="77777777" w:rsidTr="00970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D7003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E9F0971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3A1289" w14:textId="77777777" w:rsidR="00970720" w:rsidRPr="00970720" w:rsidRDefault="00970720" w:rsidP="0097072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Role</w:t>
            </w:r>
          </w:p>
        </w:tc>
      </w:tr>
      <w:tr w:rsidR="00970720" w:rsidRPr="00970720" w14:paraId="610A755B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6E1C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Vitest</w:t>
            </w:r>
          </w:p>
        </w:tc>
        <w:tc>
          <w:tcPr>
            <w:tcW w:w="0" w:type="auto"/>
            <w:vAlign w:val="center"/>
            <w:hideMark/>
          </w:tcPr>
          <w:p w14:paraId="7F910D9F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7AC48AB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47 tests (8 files)</w:t>
            </w:r>
          </w:p>
        </w:tc>
      </w:tr>
      <w:tr w:rsidR="00970720" w:rsidRPr="00970720" w14:paraId="71AB2A0C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D08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PGlite</w:t>
            </w:r>
          </w:p>
        </w:tc>
        <w:tc>
          <w:tcPr>
            <w:tcW w:w="0" w:type="auto"/>
            <w:vAlign w:val="center"/>
            <w:hideMark/>
          </w:tcPr>
          <w:p w14:paraId="1911D81B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0.5.4</w:t>
            </w:r>
          </w:p>
        </w:tc>
        <w:tc>
          <w:tcPr>
            <w:tcW w:w="0" w:type="auto"/>
            <w:vAlign w:val="center"/>
            <w:hideMark/>
          </w:tcPr>
          <w:p w14:paraId="5C9C425F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Embedded WASM Postgres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— runs the real migrations with a Supabase-compatible </w:t>
            </w:r>
            <w:r w:rsidRPr="00970720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auth</w:t>
            </w: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shim, so RLS + RPCs are tested with zero Docker/cloud deps</w:t>
            </w:r>
          </w:p>
        </w:tc>
      </w:tr>
      <w:tr w:rsidR="00970720" w:rsidRPr="00970720" w14:paraId="3897D7A2" w14:textId="77777777" w:rsidTr="00970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1202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jszip</w:t>
            </w:r>
          </w:p>
        </w:tc>
        <w:tc>
          <w:tcPr>
            <w:tcW w:w="0" w:type="auto"/>
            <w:vAlign w:val="center"/>
            <w:hideMark/>
          </w:tcPr>
          <w:p w14:paraId="15B4B61D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3.10</w:t>
            </w:r>
          </w:p>
        </w:tc>
        <w:tc>
          <w:tcPr>
            <w:tcW w:w="0" w:type="auto"/>
            <w:vAlign w:val="center"/>
            <w:hideMark/>
          </w:tcPr>
          <w:p w14:paraId="50BB32C7" w14:textId="77777777" w:rsidR="00970720" w:rsidRPr="00970720" w:rsidRDefault="00970720" w:rsidP="00970720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70720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Export zip build + read-back assertions</w:t>
            </w:r>
          </w:p>
        </w:tc>
      </w:tr>
    </w:tbl>
    <w:p w14:paraId="34382570" w14:textId="77777777" w:rsidR="00970720" w:rsidRPr="00970720" w:rsidRDefault="00970720" w:rsidP="00970720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Coverage focus: cross-org isolation (the RLS exit gate), node CRUD/versioning/wikilinks, ingest accept flow, Ask RLS, embed/dedupe, export.</w:t>
      </w:r>
    </w:p>
    <w:p w14:paraId="69010D61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Tooling / DevOps</w:t>
      </w:r>
    </w:p>
    <w:p w14:paraId="686B3E51" w14:textId="77777777" w:rsidR="00970720" w:rsidRPr="00970720" w:rsidRDefault="00970720" w:rsidP="0097072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pnpm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workspace · </w:t>
      </w: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ESLint 9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(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eslint-config-next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) · </w:t>
      </w: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tsx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for scripts · </w:t>
      </w: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dotenv</w:t>
      </w:r>
    </w:p>
    <w:p w14:paraId="7542A1D5" w14:textId="77777777" w:rsidR="00970720" w:rsidRPr="00970720" w:rsidRDefault="00970720" w:rsidP="0097072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Supabase CLI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— migrations pushed to cloud (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supabase db push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>)</w:t>
      </w:r>
    </w:p>
    <w:p w14:paraId="1847649D" w14:textId="77777777" w:rsidR="00970720" w:rsidRPr="00970720" w:rsidRDefault="00970720" w:rsidP="0097072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GitHub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— public repo, 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gh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CLI; secrets kept out of tree (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.env.local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, 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supabase/.temp/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gitignored)</w:t>
      </w:r>
    </w:p>
    <w:p w14:paraId="05EB94A9" w14:textId="77777777" w:rsidR="00970720" w:rsidRPr="00970720" w:rsidRDefault="00970720" w:rsidP="0097072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en-GB"/>
        </w:rPr>
      </w:pPr>
      <w:r w:rsidRPr="00970720">
        <w:rPr>
          <w:rFonts w:ascii="Arial" w:eastAsia="Times New Roman" w:hAnsi="Arial" w:cs="Arial"/>
          <w:b/>
          <w:bCs/>
          <w:sz w:val="36"/>
          <w:szCs w:val="36"/>
          <w:lang w:eastAsia="en-GB"/>
        </w:rPr>
        <w:t>Architecture highlights</w:t>
      </w:r>
    </w:p>
    <w:p w14:paraId="39B2BEA8" w14:textId="77777777" w:rsidR="00970720" w:rsidRPr="00970720" w:rsidRDefault="00970720" w:rsidP="009707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Security invariant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: permissions applied at the database, </w:t>
      </w:r>
      <w:r w:rsidRPr="00970720">
        <w:rPr>
          <w:rFonts w:ascii="Arial" w:eastAsia="Times New Roman" w:hAnsi="Arial" w:cs="Arial"/>
          <w:i/>
          <w:iCs/>
          <w:sz w:val="24"/>
          <w:szCs w:val="24"/>
          <w:lang w:eastAsia="en-GB"/>
        </w:rPr>
        <w:t>before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 xml:space="preserve"> any content reaches the app or the model.</w:t>
      </w:r>
    </w:p>
    <w:p w14:paraId="194913C4" w14:textId="77777777" w:rsidR="00970720" w:rsidRPr="00970720" w:rsidRDefault="00970720" w:rsidP="009707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Single source of truth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>: SQL migrations run identically on cloud Supabase and the PGlite test harness (with a small pgvector-only shim for tests).</w:t>
      </w:r>
    </w:p>
    <w:p w14:paraId="23880CCA" w14:textId="77777777" w:rsidR="00970720" w:rsidRPr="00970720" w:rsidRDefault="00970720" w:rsidP="009707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No lock-in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>: per-space Obsidian-compatible markdown export.</w:t>
      </w:r>
    </w:p>
    <w:p w14:paraId="7FB47D55" w14:textId="2CDCF9FB" w:rsidR="00082D69" w:rsidRPr="00970720" w:rsidRDefault="00970720" w:rsidP="0097072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en-GB"/>
        </w:rPr>
      </w:pPr>
      <w:r w:rsidRPr="00970720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Vendor-swappable seams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>: embedder (</w:t>
      </w:r>
      <w:r w:rsidRPr="00970720">
        <w:rPr>
          <w:rFonts w:ascii="Arial" w:eastAsia="Times New Roman" w:hAnsi="Arial" w:cs="Arial"/>
          <w:sz w:val="20"/>
          <w:szCs w:val="20"/>
          <w:lang w:eastAsia="en-GB"/>
        </w:rPr>
        <w:t>embed()</w:t>
      </w:r>
      <w:r w:rsidRPr="00970720">
        <w:rPr>
          <w:rFonts w:ascii="Arial" w:eastAsia="Times New Roman" w:hAnsi="Arial" w:cs="Arial"/>
          <w:sz w:val="24"/>
          <w:szCs w:val="24"/>
          <w:lang w:eastAsia="en-GB"/>
        </w:rPr>
        <w:t>) and LLM model (env vars) are single points of change.</w:t>
      </w:r>
    </w:p>
    <w:sectPr w:rsidR="00082D69" w:rsidRPr="0097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26A"/>
    <w:multiLevelType w:val="multilevel"/>
    <w:tmpl w:val="44F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C6173"/>
    <w:multiLevelType w:val="multilevel"/>
    <w:tmpl w:val="966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71521">
    <w:abstractNumId w:val="0"/>
  </w:num>
  <w:num w:numId="2" w16cid:durableId="139003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20"/>
    <w:rsid w:val="00016F05"/>
    <w:rsid w:val="00082D69"/>
    <w:rsid w:val="002D42B3"/>
    <w:rsid w:val="0097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7ADF"/>
  <w15:chartTrackingRefBased/>
  <w15:docId w15:val="{0B223F9F-476F-E445-8CC1-40B35873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8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20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20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720"/>
    <w:pPr>
      <w:spacing w:before="100" w:beforeAutospacing="1" w:after="100" w:afterAutospacing="1"/>
    </w:pPr>
    <w:rPr>
      <w:rFonts w:eastAsia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97072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072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707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0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nv26/collective-br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2026-07-06T05:45:00Z</dcterms:created>
  <dcterms:modified xsi:type="dcterms:W3CDTF">2026-07-06T05:48:00Z</dcterms:modified>
</cp:coreProperties>
</file>