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Introduction to Software Engineering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-300036</wp:posOffset>
                </wp:positionH>
                <wp:positionV relativeFrom="paragraph">
                  <wp:posOffset>186373</wp:posOffset>
                </wp:positionV>
                <wp:extent cx="6817995" cy="160782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941765" y="2980853"/>
                          <a:ext cx="6808470" cy="1598295"/>
                        </a:xfrm>
                        <a:prstGeom prst="rect">
                          <a:avLst/>
                        </a:prstGeom>
                        <a:solidFill>
                          <a:srgbClr val="4F81BD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96"/>
                                <w:vertAlign w:val="baseline"/>
                              </w:rPr>
                              <w:t xml:space="preserve">Weekly Status Report</w:t>
                            </w:r>
                          </w:p>
                        </w:txbxContent>
                      </wps:txbx>
                      <wps:bodyPr anchorCtr="0" anchor="ctr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-300036</wp:posOffset>
                </wp:positionH>
                <wp:positionV relativeFrom="paragraph">
                  <wp:posOffset>186373</wp:posOffset>
                </wp:positionV>
                <wp:extent cx="6817995" cy="160782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7995" cy="16078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3118803</wp:posOffset>
                </wp:positionH>
                <wp:positionV relativeFrom="paragraph">
                  <wp:posOffset>87313</wp:posOffset>
                </wp:positionV>
                <wp:extent cx="3322320" cy="131699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689603" y="3126268"/>
                          <a:ext cx="3312795" cy="1307465"/>
                        </a:xfrm>
                        <a:custGeom>
                          <a:rect b="b" l="l" r="r" t="t"/>
                          <a:pathLst>
                            <a:path extrusionOk="0" h="1307465" w="3312795">
                              <a:moveTo>
                                <a:pt x="0" y="0"/>
                              </a:moveTo>
                              <a:lnTo>
                                <a:pt x="0" y="1307465"/>
                              </a:lnTo>
                              <a:lnTo>
                                <a:pt x="3312795" y="1307465"/>
                              </a:lnTo>
                              <a:lnTo>
                                <a:pt x="33127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The student team is required to complete the 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Weekly Status Report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documentation for the assigned course project, following the attached template.</w:t>
                            </w:r>
                          </w:p>
                        </w:txbxContent>
                      </wps:txbx>
                      <wps:bodyPr anchorCtr="0" anchor="t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3118803</wp:posOffset>
                </wp:positionH>
                <wp:positionV relativeFrom="paragraph">
                  <wp:posOffset>87313</wp:posOffset>
                </wp:positionV>
                <wp:extent cx="3322320" cy="131699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22320" cy="1316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right"/>
        <w:rPr>
          <w:b w:val="1"/>
          <w:bCs w:val="1"/>
          <w:i w:val="1"/>
          <w:iCs w:val="1"/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-303529</wp:posOffset>
            </wp:positionH>
            <wp:positionV relativeFrom="paragraph">
              <wp:posOffset>349250</wp:posOffset>
            </wp:positionV>
            <wp:extent cx="889000" cy="700405"/>
            <wp:effectExtent b="0" l="0" r="0" t="0"/>
            <wp:wrapNone/>
            <wp:docPr descr="C:\Users\tdqua_000\Dropbox\SS-Slides\DeCuong-CDIO\Template CDIO v4.2\Templates\Hinh anh\LogoTruong.png" id="5" name="image1.png"/>
            <a:graphic>
              <a:graphicData uri="http://schemas.openxmlformats.org/drawingml/2006/picture">
                <pic:pic>
                  <pic:nvPicPr>
                    <pic:cNvPr descr="C:\Users\tdqua_000\Dropbox\SS-Slides\DeCuong-CDIO\Template CDIO v4.2\Templates\Hinh anh\LogoTruong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700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452438</wp:posOffset>
                </wp:positionH>
                <wp:positionV relativeFrom="paragraph">
                  <wp:posOffset>-951</wp:posOffset>
                </wp:positionV>
                <wp:extent cx="2902585" cy="106108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99470" y="3254220"/>
                          <a:ext cx="2893060" cy="1051560"/>
                        </a:xfrm>
                        <a:custGeom>
                          <a:rect b="b" l="l" r="r" t="t"/>
                          <a:pathLst>
                            <a:path extrusionOk="0" h="1051560" w="2893060">
                              <a:moveTo>
                                <a:pt x="0" y="0"/>
                              </a:moveTo>
                              <a:lnTo>
                                <a:pt x="0" y="1051560"/>
                              </a:lnTo>
                              <a:lnTo>
                                <a:pt x="2893060" y="1051560"/>
                              </a:lnTo>
                              <a:lnTo>
                                <a:pt x="2893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Software Engineering Department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Faculty of Information and Technology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University of Science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452438</wp:posOffset>
                </wp:positionH>
                <wp:positionV relativeFrom="paragraph">
                  <wp:posOffset>-951</wp:posOffset>
                </wp:positionV>
                <wp:extent cx="2902585" cy="106108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2585" cy="10610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C">
      <w:pPr>
        <w:rPr/>
        <w:sectPr>
          <w:pgSz w:h="15840" w:w="12240" w:orient="portrait"/>
          <w:pgMar w:bottom="1440" w:top="1440" w:left="1440" w:right="90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0070c0"/>
          <w:sz w:val="60"/>
          <w:szCs w:val="60"/>
        </w:rPr>
      </w:pPr>
      <w:r w:rsidDel="00000000" w:rsidR="00000000" w:rsidRPr="00000000">
        <w:rPr>
          <w:b w:val="1"/>
          <w:bCs w:val="1"/>
          <w:color w:val="0070c0"/>
          <w:sz w:val="60"/>
          <w:szCs w:val="60"/>
          <w:rtl w:val="0"/>
        </w:rPr>
        <w:t xml:space="preserve">Table of Contents</w:t>
      </w:r>
    </w:p>
    <w:sdt>
      <w:sdtPr>
        <w:id w:val="-18917793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0" w:before="0" w:line="360" w:lineRule="auto"/>
            <w:ind w:left="0" w:right="0" w:firstLine="0"/>
            <w:jc w:val="both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Right-click here and choose “Update Field” to build the table of contents.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rPr/>
        <w:sectPr>
          <w:headerReference r:id="rId9" w:type="default"/>
          <w:footerReference r:id="rId10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color w:val="548dd4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color w:val="0070c0"/>
          <w:sz w:val="80"/>
          <w:szCs w:val="80"/>
        </w:rPr>
      </w:pPr>
      <w:r w:rsidDel="00000000" w:rsidR="00000000" w:rsidRPr="00000000">
        <w:rPr>
          <w:b w:val="1"/>
          <w:bCs w:val="1"/>
          <w:color w:val="0070c0"/>
          <w:sz w:val="80"/>
          <w:szCs w:val="80"/>
          <w:rtl w:val="0"/>
        </w:rPr>
        <w:t xml:space="preserve">Weekly Status Report</w:t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color w:val="548dd4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ind w:left="851" w:hanging="851"/>
        <w:rPr>
          <w:color w:val="000000"/>
        </w:rPr>
      </w:pPr>
      <w:bookmarkStart w:colFirst="0" w:colLast="0" w:name="_heading=h.psqa7bplmnjq" w:id="0"/>
      <w:bookmarkEnd w:id="0"/>
      <w:r w:rsidDel="00000000" w:rsidR="00000000" w:rsidRPr="00000000">
        <w:rPr>
          <w:color w:val="000000"/>
          <w:rtl w:val="0"/>
        </w:rPr>
        <w:t xml:space="preserve">Objectives</w:t>
      </w:r>
    </w:p>
    <w:p w:rsidR="00000000" w:rsidDel="00000000" w:rsidP="00000000" w:rsidRDefault="00000000" w:rsidRPr="00000000" w14:paraId="00000024">
      <w:pPr>
        <w:rPr/>
      </w:pPr>
      <w:bookmarkStart w:colFirst="0" w:colLast="0" w:name="_heading=h.rfiqm6gxo8wb" w:id="1"/>
      <w:bookmarkEnd w:id="1"/>
      <w:r w:rsidDel="00000000" w:rsidR="00000000" w:rsidRPr="00000000">
        <w:rPr>
          <w:rtl w:val="0"/>
        </w:rPr>
        <w:t xml:space="preserve">This document focus on the following topics: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Reporting weekly progress against the project plan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Recording issues and risks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  <w:sectPr>
          <w:headerReference r:id="rId11" w:type="default"/>
          <w:footerReference r:id="rId12" w:type="default"/>
          <w:type w:val="nextPage"/>
          <w:pgSz w:h="15840" w:w="12240" w:orient="portrait"/>
          <w:pgMar w:bottom="1080" w:top="1080" w:left="1080" w:right="1080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Recording the weekly status meeting</w:t>
      </w:r>
    </w:p>
    <w:p w:rsidR="00000000" w:rsidDel="00000000" w:rsidP="00000000" w:rsidRDefault="00000000" w:rsidRPr="00000000" w14:paraId="00000028">
      <w:pPr>
        <w:pStyle w:val="Heading1"/>
        <w:numPr>
          <w:ilvl w:val="0"/>
          <w:numId w:val="2"/>
        </w:numPr>
        <w:ind w:left="432" w:hanging="432"/>
        <w:rPr/>
      </w:pPr>
      <w:r w:rsidDel="00000000" w:rsidR="00000000" w:rsidRPr="00000000">
        <w:rPr>
          <w:rtl w:val="0"/>
        </w:rPr>
        <w:t xml:space="preserve">Submission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One report per week, from week 2 to week 10 (9 reports). The team lead (or backup) is responsible.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team chooses its own weekly deadline (e.g., the day after the status meeting) and states it in PA1.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Commit the report to the repository: /docs/management/weekly/W&lt;week&gt;-status.docx (or .md), e.g., W03-status.docx. Do not overwrite or rewrite earlier reports; the commit history is the evidence of timeliness.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Reports are not submitted on Moodle. They are graded at the end of the course as part of the Teamwork &amp; tool usage component (working process).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2"/>
        </w:numPr>
        <w:ind w:left="432" w:hanging="432"/>
        <w:rPr/>
      </w:pPr>
      <w:r w:rsidDel="00000000" w:rsidR="00000000" w:rsidRPr="00000000">
        <w:rPr>
          <w:rtl w:val="0"/>
        </w:rPr>
        <w:t xml:space="preserve">Report Information</w:t>
      </w:r>
    </w:p>
    <w:tbl>
      <w:tblPr>
        <w:tblStyle w:val="Table1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6"/>
        <w:gridCol w:w="6623"/>
        <w:tblGridChange w:id="0">
          <w:tblGrid>
            <w:gridCol w:w="2736"/>
            <w:gridCol w:w="6623"/>
          </w:tblGrid>
        </w:tblGridChange>
      </w:tblGrid>
      <w:tr>
        <w:trPr>
          <w:cantSplit w:val="1"/>
          <w:tblHeader w:val="1"/>
        </w:trPr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T05 – Nexora | CourtMate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W04 – 20/10/2026 to 26/10/2026 (Asia/Ho_Chi_Minh)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of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Two team meetings during W04 (20–26/10); exact meeting dates/times not recorded.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Current phase / 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PA1 closure and archiving; PA2 – Software Requirements Specification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Nguyễn Đức Hưng – Team Lead | revised 27/10/2026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Overall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AMBER (at risk): PA1 archived and all four PA2 component work packages merged (incl. BR on 26/10); consolidated SRS validation and formal meeting evidence remain to be confirmed.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Task Status</w:t>
      </w:r>
    </w:p>
    <w:p w:rsidR="00000000" w:rsidDel="00000000" w:rsidP="00000000" w:rsidRDefault="00000000" w:rsidRPr="00000000" w14:paraId="0000003F">
      <w:pPr>
        <w:ind w:firstLine="576"/>
        <w:rPr/>
      </w:pPr>
      <w:r w:rsidDel="00000000" w:rsidR="00000000" w:rsidRPr="00000000">
        <w:rPr>
          <w:rtl w:val="0"/>
        </w:rPr>
        <w:t>Task owners and PA2 deadlines follow GitHub Issues #60–#63. Completed work is evidenced by merged PRs; formal SRS integration and group sign-off remain pending.</w:t>
      </w:r>
    </w:p>
    <w:tbl>
      <w:tblPr>
        <w:tblStyle w:val="Table2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1296"/>
        <w:gridCol w:w="1296"/>
        <w:gridCol w:w="1296"/>
        <w:gridCol w:w="864"/>
        <w:gridCol w:w="2015"/>
        <w:tblGridChange w:id="0">
          <w:tblGrid>
            <w:gridCol w:w="2592"/>
            <w:gridCol w:w="1296"/>
            <w:gridCol w:w="1296"/>
            <w:gridCol w:w="1296"/>
            <w:gridCol w:w="864"/>
            <w:gridCol w:w="2015"/>
          </w:tblGrid>
        </w:tblGridChange>
      </w:tblGrid>
      <w:tr>
        <w:trPr>
          <w:cantSplit w:val="1"/>
          <w:tblHeader w:val="1"/>
        </w:trPr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% 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PA1 closeout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Rule="auto"/>
              <w:jc w:val="left"/>
              <w:rPr/>
            </w:pPr>
            <w:sdt>
              <w:sdtPr>
                <w:id w:val="-424970500"/>
                <w:tag w:val="goog_rdk_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Hưng/Trung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PRs #56–#59 merged 20/10; PA1 archive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PA2 #60 – FR/AC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Rule="auto"/>
              <w:jc w:val="left"/>
              <w:rPr/>
            </w:pPr>
            <w:sdt>
              <w:sdtPr>
                <w:id w:val="1807407367"/>
                <w:tag w:val="goog_rdk_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Hưng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 #68 merged 24/10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PA2 #61 – FR/AC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 #70 merged 25/10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PA2 #62 – NFR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Rule="auto"/>
              <w:jc w:val="left"/>
              <w:rPr/>
            </w:pPr>
            <w:sdt>
              <w:sdtPr>
                <w:id w:val="778537579"/>
                <w:tag w:val="goog_rdk_2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Hiếu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 #64 merged 23/10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PA2 #63 – 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PR #71 merged 26/10; artifact on main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Plan for Next Week</w:t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40"/>
        <w:gridCol w:w="2160"/>
        <w:gridCol w:w="2160"/>
        <w:tblGridChange w:id="0">
          <w:tblGrid>
            <w:gridCol w:w="5040"/>
            <w:gridCol w:w="2160"/>
            <w:gridCol w:w="2160"/>
          </w:tblGrid>
        </w:tblGridChange>
      </w:tblGrid>
      <w:tr>
        <w:trPr>
          <w:cantSplit w:val="1"/>
          <w:tblHeader w:val="1"/>
        </w:trPr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PA2 SRS: policy and consistency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Rule="auto"/>
              <w:jc w:val="left"/>
              <w:rPr/>
            </w:pPr>
            <w:sdt>
              <w:sdtPr>
                <w:id w:val="-917141832"/>
                <w:tag w:val="goog_rdk_3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Hưng/Quang + team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30–31/10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UC, mockups, RTM, review and AI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Team (assign on review)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31/10–01/11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Figma / PA2 UI consistency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Rule="auto"/>
              <w:jc w:val="left"/>
              <w:rPr/>
            </w:pPr>
            <w:sdt>
              <w:sdtPr>
                <w:id w:val="1410897492"/>
                <w:tag w:val="goog_rdk_4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Hiếu/Hưng (proposed)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Bootstrap review and PA3 planning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left"/>
              <w:rPr/>
            </w:pPr>
            <w:sdt>
              <w:sdtPr>
                <w:id w:val="1287426969"/>
                <w:tag w:val="goog_rdk_5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Hưng + reviewers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01/11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Issues and Risks</w:t>
      </w:r>
    </w:p>
    <w:tbl>
      <w:tblPr>
        <w:tblStyle w:val="Table4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20"/>
        <w:gridCol w:w="2880"/>
        <w:gridCol w:w="1584"/>
        <w:gridCol w:w="2304"/>
        <w:gridCol w:w="1007"/>
        <w:gridCol w:w="864"/>
        <w:tblGridChange w:id="0">
          <w:tblGrid>
            <w:gridCol w:w="720"/>
            <w:gridCol w:w="2880"/>
            <w:gridCol w:w="1584"/>
            <w:gridCol w:w="2304"/>
            <w:gridCol w:w="1007"/>
            <w:gridCol w:w="864"/>
          </w:tblGrid>
        </w:tblGridChange>
      </w:tblGrid>
      <w:tr>
        <w:trPr>
          <w:cantSplit w:val="1"/>
          <w:trHeight w:val="184.44000000000003" w:hRule="atLeast"/>
          <w:tblHeader w:val="1"/>
        </w:trPr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 Must features; short PA5 window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Schedule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Prioritize Must; revise WBS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Rule="auto"/>
              <w:jc w:val="left"/>
              <w:rPr/>
            </w:pPr>
            <w:sdt>
              <w:sdtPr>
                <w:id w:val="-162518058"/>
                <w:tag w:val="goog_rdk_6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Hưng/team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Booking/room policies pending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SRS/UI mismatch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Review FR/BR/AC and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Rule="auto"/>
              <w:jc w:val="left"/>
              <w:rPr/>
            </w:pPr>
            <w:sdt>
              <w:sdtPr>
                <w:id w:val="-590667842"/>
                <w:tag w:val="goog_rdk_7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Hưng/Quang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Exact meeting times/attendance evidence N/V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Weak 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Confirm both meetings and retain 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Rule="auto"/>
              <w:jc w:val="left"/>
              <w:rPr/>
            </w:pPr>
            <w:sdt>
              <w:sdtPr>
                <w:id w:val="-475636601"/>
                <w:tag w:val="goog_rdk_8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Quang/Hưng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30/10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pageBreakBefore w:val="1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Meeting Minutes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>During W04 (20–26/10/2026), the team held two meetings to coordinate PA2 development and review the CourtMate SRS; exact times and attendance evidence should be confirmed.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>Meeting 1 – Task Assignment: The team assigned PA2 responsibilities across Sections 1–5, designated reviewers, and agreed on deliverables and deadlines. GitHub Issues #60–#63 were created to track individual assignments.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>Meeting 2 – SRS Review and Alignment: The team discussed the consolidated FRs, NFRs, BRs and ACs, including owner-published booking slots, cancellation eligibility, role provisioning and Open Play Room capacity. Policy decisions and acceptance criteria require final team validation against the integrated SRS.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>During the reporting period, PA2 PRs #64 (NFR), #68 (FR/AC), #70 (FR/AC) and #71 (BR, merged 26/10) reached main. Final integrated SRS review, UI alignment and formal team sign-off remain follow-up work.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57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84"/>
        <w:gridCol w:w="1007"/>
        <w:gridCol w:w="2447"/>
        <w:gridCol w:w="2304"/>
        <w:gridCol w:w="2015"/>
        <w:tblGridChange w:id="0">
          <w:tblGrid>
            <w:gridCol w:w="1584"/>
            <w:gridCol w:w="1007"/>
            <w:gridCol w:w="2447"/>
            <w:gridCol w:w="2304"/>
            <w:gridCol w:w="2015"/>
          </w:tblGrid>
        </w:tblGridChange>
      </w:tblGrid>
      <w:tr>
        <w:trPr>
          <w:cantSplit w:val="1"/>
          <w:tblHeader w:val="1"/>
        </w:trPr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97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98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99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Done since last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9A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9B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Blockers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C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Nguyễn Đức Hưng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PA1 closeout; PA2 Sections 1–4, FR/AC; PR #68; SRS coordination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Consolidate SRS; verify FR–BR–AC alignment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None reported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1">
            <w:pPr>
              <w:jc w:val="left"/>
              <w:rPr>
                <w:sz w:val="22"/>
                <w:szCs w:val="22"/>
              </w:rPr>
            </w:pPr>
            <w:sdt>
              <w:sdtPr>
                <w:id w:val="-1100363696"/>
                <w:tag w:val="goog_rdk_9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Dương Trung Hiếu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NFR-01–05; PR #64; PA1 AI 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Review UI against SRS; support NFR verification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None reported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Lê Thành Trung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PA2 F03/F05/F07/F08/F09 and AC; PR #70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Review use cases, acceptance criteria and prototype consistency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None reported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left"/>
              <w:rPr>
                <w:sz w:val="22"/>
                <w:szCs w:val="22"/>
              </w:rPr>
            </w:pPr>
            <w:sdt>
              <w:sdtPr>
                <w:id w:val="322508472"/>
                <w:tag w:val="goog_rdk_1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Bùi Phạm Quang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PA2 Business Rules; Issue #63; SRS policy review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Finalize Business Rules; cross-check FR, NFR and AC consistency; support SRS review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None reported</w:t>
            </w:r>
          </w:p>
        </w:tc>
      </w:tr>
    </w:tbl>
    <w:p w:rsidR="00000000" w:rsidDel="00000000" w:rsidP="00000000" w:rsidRDefault="00000000" w:rsidRPr="00000000" w14:paraId="000000B0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Metrics</w:t>
      </w:r>
    </w:p>
    <w:tbl>
      <w:tblPr>
        <w:tblStyle w:val="Table6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2447"/>
        <w:gridCol w:w="2592"/>
        <w:tblGridChange w:id="0">
          <w:tblGrid>
            <w:gridCol w:w="4320"/>
            <w:gridCol w:w="2447"/>
            <w:gridCol w:w="2592"/>
          </w:tblGrid>
        </w:tblGridChange>
      </w:tblGrid>
      <w:tr>
        <w:trPr>
          <w:cantSplit w:val="1"/>
          <w:tblHeader w:val="1"/>
        </w:trPr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This 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Tasks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5 completed work packages; #63 evidenced by PR #71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Cumulative WBS not verified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Commits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17 commits on main + 1 bootstrap branch commit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40 commits on main at 26/10 cutoff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Pull requests merged / reviewed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8 merged (PRs #56–#59, #64, #68, #70, #71); reviews N/V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18 merged PRs total at 26/10 cutoff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Open defects (PA5)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N/A (before PA5)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sz w:val="16"/>
          <w:szCs w:val="16"/>
          <w:rtl w:val="0"/>
        </w:rPr>
        <w:t>Evidence (20–26/10): PRs #56–#59, #64, #68, #70, #71; Issues #60–#63. Repo: https://github.com/hungstupid/CourtMate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sz w:val="16"/>
          <w:szCs w:val="16"/>
          <w:rtl w:val="0"/>
        </w:rPr>
        <w:t>PA2 PRs: https://github.com/hungstupid/CourtMate/pull/64 ; /pull/68 ; /pull/70 ; /pull/71 (same repository).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sz w:val="16"/>
          <w:szCs w:val="16"/>
          <w:rtl w:val="0"/>
        </w:rPr>
        <w:t>Bootstrap evidence: commit b7a393b on chore/project-bootstrap (25/10); not merged as of 26/10 cutoff.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sz w:val="16"/>
          <w:szCs w:val="16"/>
          <w:rtl w:val="0"/>
        </w:rPr>
        <w:t>Reporting boundary: 20/10/2026 00:00 through 26/10/2026 23:59 (Asia/Ho_Chi_Minh). Changes on 26/10 are included; activity on 19/10 and from 27/10 onward is excluded.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080" w:top="1080" w:left="1080" w:right="10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310.0" w:type="dxa"/>
      <w:jc w:val="left"/>
      <w:tblInd w:w="-115.0" w:type="dxa"/>
      <w:tblBorders>
        <w:top w:color="0070c0" w:space="0" w:sz="4" w:val="single"/>
      </w:tblBorders>
      <w:tblLayout w:type="fixed"/>
      <w:tblLook w:val="0400"/>
    </w:tblPr>
    <w:tblGrid>
      <w:gridCol w:w="9279"/>
      <w:gridCol w:w="1031"/>
      <w:tblGridChange w:id="0">
        <w:tblGrid>
          <w:gridCol w:w="9279"/>
          <w:gridCol w:w="1031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C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both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HCMUS | SE Dept.</w:t>
          </w:r>
        </w:p>
      </w:tc>
      <w:tc>
        <w:tcPr>
          <w:shd w:fill="0070c0" w:val="clear"/>
        </w:tcPr>
        <w:p w:rsidR="00000000" w:rsidDel="00000000" w:rsidP="00000000" w:rsidRDefault="00000000" w:rsidRPr="00000000" w14:paraId="000000C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310.0" w:type="dxa"/>
      <w:jc w:val="left"/>
      <w:tblInd w:w="-115.0" w:type="dxa"/>
      <w:tblBorders>
        <w:bottom w:color="0070c0" w:space="0" w:sz="4" w:val="single"/>
      </w:tblBorders>
      <w:tblLayout w:type="fixed"/>
      <w:tblLook w:val="0400"/>
    </w:tblPr>
    <w:tblGrid>
      <w:gridCol w:w="6260"/>
      <w:gridCol w:w="4050"/>
      <w:tblGridChange w:id="0">
        <w:tblGrid>
          <w:gridCol w:w="6260"/>
          <w:gridCol w:w="4050"/>
        </w:tblGrid>
      </w:tblGridChange>
    </w:tblGrid>
    <w:tr>
      <w:trPr>
        <w:cantSplit w:val="0"/>
        <w:trHeight w:val="198" w:hRule="atLeast"/>
        <w:tblHeader w:val="0"/>
      </w:trPr>
      <w:tc>
        <w:tcPr>
          <w:shd w:fill="0070c0" w:val="clear"/>
        </w:tcPr>
        <w:p w:rsidR="00000000" w:rsidDel="00000000" w:rsidP="00000000" w:rsidRDefault="00000000" w:rsidRPr="00000000" w14:paraId="000000C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Introduction to Software Engineering</w:t>
          </w:r>
        </w:p>
      </w:tc>
      <w:tc>
        <w:tcPr/>
        <w:p w:rsidR="00000000" w:rsidDel="00000000" w:rsidP="00000000" w:rsidRDefault="00000000" w:rsidRPr="00000000" w14:paraId="000000C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righ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Weekly Status Report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"/>
      <w:lvlJc w:val="left"/>
      <w:pPr>
        <w:ind w:left="432" w:hanging="432"/>
      </w:pPr>
      <w:rPr>
        <w:sz w:val="96"/>
        <w:szCs w:val="96"/>
      </w:rPr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4"/>
        <w:szCs w:val="24"/>
        <w:lang w:val="en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32" w:hanging="432"/>
    </w:pPr>
    <w:rPr>
      <w:b w:val="1"/>
      <w:bCs w:val="1"/>
      <w:color w:val="0070c0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1"/>
      <w:ind w:left="851" w:hanging="851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1701" w:hanging="850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864" w:hanging="864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  <w:ind w:left="1008" w:hanging="1008"/>
    </w:pPr>
    <w:rPr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  <w:ind w:left="1152" w:hanging="1152"/>
    </w:pPr>
    <w:rPr>
      <w:color w:val="243f61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84013"/>
    <w:pPr>
      <w:keepNext w:val="1"/>
      <w:keepLines w:val="1"/>
      <w:numPr>
        <w:ilvl w:val="6"/>
        <w:numId w:val="27"/>
      </w:numPr>
      <w:spacing w:before="40"/>
      <w:outlineLvl w:val="6"/>
    </w:pPr>
    <w:rPr>
      <w:rFonts w:cstheme="majorBidi" w:eastAsiaTheme="majorEastAsia"/>
      <w:i w:val="1"/>
      <w:iCs w:val="1"/>
      <w:color w:val="243f60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84013"/>
    <w:pPr>
      <w:keepNext w:val="1"/>
      <w:keepLines w:val="1"/>
      <w:numPr>
        <w:ilvl w:val="7"/>
        <w:numId w:val="27"/>
      </w:numPr>
      <w:spacing w:before="40"/>
      <w:outlineLvl w:val="7"/>
    </w:pPr>
    <w:rPr>
      <w:rFonts w:cstheme="majorBidi" w:eastAsiaTheme="majorEastAsia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84013"/>
    <w:pPr>
      <w:keepNext w:val="1"/>
      <w:keepLines w:val="1"/>
      <w:numPr>
        <w:ilvl w:val="8"/>
        <w:numId w:val="27"/>
      </w:numPr>
      <w:spacing w:before="40"/>
      <w:outlineLvl w:val="8"/>
    </w:pPr>
    <w:rPr>
      <w:rFonts w:cstheme="majorBidi" w:eastAsiaTheme="majorEastAsia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A54510"/>
  </w:style>
  <w:style w:type="paragraph" w:styleId="Footer">
    <w:name w:val="footer"/>
    <w:basedOn w:val="Normal"/>
    <w:link w:val="Foot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A54510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54510"/>
    <w:pPr>
      <w:spacing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54510"/>
    <w:rPr>
      <w:rFonts w:ascii="Tahoma" w:cs="Tahoma" w:hAnsi="Tahoma"/>
      <w:sz w:val="16"/>
      <w:szCs w:val="16"/>
    </w:rPr>
  </w:style>
  <w:style w:type="character" w:styleId="Heading1Char" w:customStyle="1">
    <w:name w:val="Heading 1 Char"/>
    <w:basedOn w:val="DefaultParagraphFont"/>
    <w:link w:val="Heading1"/>
    <w:uiPriority w:val="9"/>
    <w:rsid w:val="00E84013"/>
    <w:rPr>
      <w:rFonts w:asciiTheme="majorHAnsi" w:cstheme="majorBidi" w:eastAsiaTheme="majorEastAsia" w:hAnsiTheme="majorHAnsi"/>
      <w:b w:val="1"/>
      <w:bCs w:val="1"/>
      <w:color w:val="0070c0"/>
      <w:sz w:val="44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C20E39"/>
    <w:rPr>
      <w:rFonts w:asciiTheme="majorHAnsi" w:cstheme="majorBidi" w:eastAsiaTheme="majorEastAsia" w:hAnsiTheme="majorHAnsi"/>
      <w:b w:val="1"/>
      <w:bCs w:val="1"/>
      <w:sz w:val="32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D316C1"/>
    <w:rPr>
      <w:rFonts w:asciiTheme="majorHAnsi" w:cstheme="majorBidi" w:eastAsiaTheme="majorEastAsia" w:hAnsiTheme="majorHAnsi"/>
      <w:b w:val="1"/>
      <w:bCs w:val="1"/>
      <w:i w:val="1"/>
      <w:sz w:val="26"/>
    </w:rPr>
  </w:style>
  <w:style w:type="paragraph" w:styleId="ListParagraph">
    <w:name w:val="List Paragraph"/>
    <w:basedOn w:val="Normal"/>
    <w:uiPriority w:val="34"/>
    <w:qFormat w:val="1"/>
    <w:rsid w:val="00C05253"/>
    <w:pPr>
      <w:ind w:left="720"/>
      <w:contextualSpacing w:val="1"/>
    </w:p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025192"/>
    <w:pPr>
      <w:spacing w:before="480"/>
      <w:outlineLvl w:val="9"/>
    </w:pPr>
    <w:rPr>
      <w:color w:val="365f91" w:themeColor="accent1" w:themeShade="0000BF"/>
      <w:lang w:eastAsia="ja-JP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5E4619"/>
    <w:pPr>
      <w:tabs>
        <w:tab w:val="right" w:leader="dot" w:pos="9350"/>
      </w:tabs>
    </w:pPr>
    <w:rPr>
      <w:b w:val="1"/>
    </w:rPr>
  </w:style>
  <w:style w:type="paragraph" w:styleId="TOC2">
    <w:name w:val="toc 2"/>
    <w:basedOn w:val="Normal"/>
    <w:next w:val="Normal"/>
    <w:autoRedefine w:val="1"/>
    <w:uiPriority w:val="39"/>
    <w:unhideWhenUsed w:val="1"/>
    <w:rsid w:val="00025192"/>
    <w:pPr>
      <w:ind w:left="216"/>
    </w:pPr>
  </w:style>
  <w:style w:type="character" w:styleId="Hyperlink">
    <w:name w:val="Hyperlink"/>
    <w:basedOn w:val="DefaultParagraphFont"/>
    <w:uiPriority w:val="99"/>
    <w:unhideWhenUsed w:val="1"/>
    <w:rsid w:val="00025192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5D1892"/>
    <w:pPr>
      <w:spacing w:after="200" w:line="240" w:lineRule="auto"/>
    </w:pPr>
    <w:rPr>
      <w:bCs w:val="1"/>
      <w:sz w:val="20"/>
      <w:szCs w:val="18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0C46D0"/>
    <w:pPr>
      <w:tabs>
        <w:tab w:val="right" w:leader="dot" w:pos="9350"/>
      </w:tabs>
      <w:ind w:left="432"/>
    </w:pPr>
    <w:rPr>
      <w:noProof w:val="1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2A2A44"/>
    <w:pPr>
      <w:spacing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2A2A4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2A2A44"/>
    <w:rPr>
      <w:vertAlign w:val="superscript"/>
    </w:rPr>
  </w:style>
  <w:style w:type="character" w:styleId="PlaceholderText">
    <w:name w:val="Placeholder Text"/>
    <w:basedOn w:val="DefaultParagraphFont"/>
    <w:uiPriority w:val="99"/>
    <w:semiHidden w:val="1"/>
    <w:rsid w:val="00630988"/>
    <w:rPr>
      <w:color w:val="808080"/>
    </w:rPr>
  </w:style>
  <w:style w:type="table" w:styleId="TableGrid">
    <w:name w:val="Table Grid"/>
    <w:basedOn w:val="TableNormal"/>
    <w:uiPriority w:val="59"/>
    <w:rsid w:val="00D52D8E"/>
    <w:pPr>
      <w:spacing w:after="0" w:before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eading4Char" w:customStyle="1">
    <w:name w:val="Heading 4 Char"/>
    <w:basedOn w:val="DefaultParagraphFont"/>
    <w:link w:val="Heading4"/>
    <w:uiPriority w:val="9"/>
    <w:rsid w:val="009B1018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TOC4">
    <w:name w:val="toc 4"/>
    <w:basedOn w:val="Normal"/>
    <w:next w:val="Normal"/>
    <w:autoRedefine w:val="1"/>
    <w:uiPriority w:val="39"/>
    <w:unhideWhenUsed w:val="1"/>
    <w:rsid w:val="00E1012B"/>
    <w:pPr>
      <w:spacing w:after="100"/>
      <w:ind w:left="780"/>
    </w:p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84013"/>
    <w:rPr>
      <w:rFonts w:asciiTheme="majorHAnsi" w:cstheme="majorBidi" w:eastAsiaTheme="majorEastAsia" w:hAnsiTheme="majorHAnsi"/>
      <w:color w:val="365f91" w:themeColor="accent1" w:themeShade="0000BF"/>
      <w:sz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84013"/>
    <w:rPr>
      <w:rFonts w:asciiTheme="majorHAnsi" w:cstheme="majorBidi" w:eastAsiaTheme="majorEastAsia" w:hAnsiTheme="majorHAnsi"/>
      <w:color w:val="243f60" w:themeColor="accent1" w:themeShade="00007F"/>
      <w:sz w:val="2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2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84013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jy7Z7wabnb8e75SO19V88VXoQ==">CgMxLjAaEgoBMBINCgsIB0IHEgVBcmlhbBoSCgExEg0KCwgHQgcSBUFyaWFsGhIKATISDQoLCAdCBxIFQXJpYWwaEgoBMxINCgsIB0IHEgVBcmlhbBoSCgE0Eg0KCwgHQgcSBUFyaWFsGhIKATUSDQoLCAdCBxIFQXJpYWwaEgoBNhINCgsIB0IHEgVBcmlhbBoSCgE3Eg0KCwgHQgcSBUFyaWFsGhIKATgSDQoLCAdCBxIFQXJpYWwaEgoBORINCgsIB0IHEgVBcmlhbBoTCgIxMBINCgsIB0IHEgVBcmlhbDIOaC5wc3FhN2JwbG1uanEyDmgucmZpcW02Z3hvOHdiOAByITFRTF9WMTZRNkl0ZXBrN0sxdFVFRWdKTnpjYThfdGV1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2025-05-28T08:17:00Z</dcterms:created>
  <dc:creator>tdquang7@gmail.com</dc:creator>
</cp:coreProperties>
</file>