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0511C">
        <w:rPr>
          <w:rFonts w:ascii="標楷體" w:eastAsia="標楷體" w:hAnsi="標楷體" w:hint="eastAsia"/>
          <w:sz w:val="28"/>
          <w:szCs w:val="28"/>
        </w:rPr>
        <w:t>民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724853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</w:t>
      </w:r>
      <w:r w:rsidR="00DF01AA">
        <w:rPr>
          <w:rFonts w:hint="eastAsia"/>
        </w:rPr>
        <w:t>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 w:rsidR="00DF01AA"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CC3B91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 w:rsidR="0098100D">
        <w:rPr>
          <w:rFonts w:hint="eastAsia"/>
        </w:rPr>
        <w:t>，也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</w:t>
      </w:r>
      <w:r w:rsidR="004F0412">
        <w:rPr>
          <w:rFonts w:hint="eastAsia"/>
        </w:rPr>
        <w:t>三越</w:t>
      </w:r>
      <w:r w:rsidR="00B24265">
        <w:rPr>
          <w:rFonts w:hint="eastAsia"/>
        </w:rPr>
        <w:t>櫃位卷</w:t>
      </w:r>
      <w:r w:rsidR="00A5751C">
        <w:rPr>
          <w:rFonts w:hint="eastAsia"/>
        </w:rPr>
        <w:t>之</w:t>
      </w:r>
      <w:r w:rsidR="00B24265">
        <w:rPr>
          <w:rFonts w:hint="eastAsia"/>
        </w:rPr>
        <w:t>紅利</w:t>
      </w:r>
      <w:r w:rsidR="00A5751C">
        <w:rPr>
          <w:rFonts w:hint="eastAsia"/>
        </w:rPr>
        <w:t>約定</w:t>
      </w:r>
      <w:r w:rsidR="00B24265">
        <w:rPr>
          <w:rFonts w:hint="eastAsia"/>
        </w:rPr>
        <w:t>及款項交付</w:t>
      </w:r>
      <w:r>
        <w:rPr>
          <w:rFonts w:hint="eastAsia"/>
        </w:rPr>
        <w:t>都是</w:t>
      </w:r>
      <w:r w:rsidR="00C55D96">
        <w:rPr>
          <w:rFonts w:hint="eastAsia"/>
        </w:rPr>
        <w:t>由</w:t>
      </w:r>
      <w:r w:rsidR="00BB3E3E">
        <w:rPr>
          <w:rFonts w:hint="eastAsia"/>
        </w:rPr>
        <w:t>上訴人王寶琴經手處</w:t>
      </w:r>
      <w:r>
        <w:rPr>
          <w:rFonts w:hint="eastAsia"/>
        </w:rPr>
        <w:t>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lastRenderedPageBreak/>
              <w:t>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(1)上訴人</w:t>
            </w:r>
            <w:r w:rsidR="007C1B0F">
              <w:rPr>
                <w:rFonts w:hint="eastAsia"/>
                <w:sz w:val="20"/>
                <w:szCs w:val="20"/>
              </w:rPr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也是投資受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  <w:p w:rsidR="00F22391" w:rsidRPr="0004755A" w:rsidRDefault="00F22391" w:rsidP="00F2239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767197">
              <w:rPr>
                <w:rFonts w:hint="eastAsia"/>
                <w:sz w:val="20"/>
                <w:szCs w:val="20"/>
              </w:rPr>
              <w:t>視同上訴人謝淑美於</w:t>
            </w:r>
            <w:r>
              <w:rPr>
                <w:rFonts w:hint="eastAsia"/>
                <w:sz w:val="20"/>
                <w:szCs w:val="20"/>
              </w:rPr>
              <w:t>一審時表示願意賠償被上訴人</w:t>
            </w:r>
            <w:r w:rsidR="00767197">
              <w:rPr>
                <w:rFonts w:hint="eastAsia"/>
                <w:sz w:val="20"/>
                <w:szCs w:val="20"/>
              </w:rPr>
              <w:t>之</w:t>
            </w:r>
            <w:r>
              <w:rPr>
                <w:rFonts w:hint="eastAsia"/>
                <w:sz w:val="20"/>
                <w:szCs w:val="20"/>
              </w:rPr>
              <w:t>損失。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原檢察官起訴書(臺灣臺南</w:t>
            </w:r>
            <w:r>
              <w:rPr>
                <w:rFonts w:hint="eastAsia"/>
                <w:sz w:val="20"/>
                <w:szCs w:val="20"/>
              </w:rPr>
              <w:lastRenderedPageBreak/>
              <w:t>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4D2AEF">
              <w:rPr>
                <w:rFonts w:hint="eastAsia"/>
                <w:sz w:val="20"/>
                <w:szCs w:val="20"/>
              </w:rPr>
              <w:t>明新光三越禮卷或</w:t>
            </w:r>
            <w:r w:rsidR="00E41988">
              <w:rPr>
                <w:rFonts w:hint="eastAsia"/>
                <w:sz w:val="20"/>
                <w:szCs w:val="20"/>
              </w:rPr>
              <w:t>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D566BC">
              <w:rPr>
                <w:rFonts w:hint="eastAsia"/>
                <w:sz w:val="20"/>
                <w:szCs w:val="20"/>
              </w:rPr>
              <w:t>等事實及證據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100D9C">
              <w:rPr>
                <w:rFonts w:hint="eastAsia"/>
                <w:sz w:val="20"/>
                <w:szCs w:val="20"/>
              </w:rPr>
              <w:t>王寶琴</w:t>
            </w:r>
            <w:r w:rsidR="006B7229">
              <w:rPr>
                <w:rFonts w:hint="eastAsia"/>
                <w:sz w:val="20"/>
                <w:szCs w:val="20"/>
              </w:rPr>
              <w:t>宣</w:t>
            </w:r>
            <w:r w:rsidR="00100D9C">
              <w:rPr>
                <w:rFonts w:hint="eastAsia"/>
                <w:sz w:val="20"/>
                <w:szCs w:val="20"/>
              </w:rPr>
              <w:t>稱</w:t>
            </w:r>
            <w:r w:rsidR="006B7229">
              <w:rPr>
                <w:rFonts w:hint="eastAsia"/>
                <w:sz w:val="20"/>
                <w:szCs w:val="20"/>
              </w:rPr>
              <w:t>因謝淑美欺騙也</w:t>
            </w:r>
            <w:r w:rsidR="00100D9C">
              <w:rPr>
                <w:rFonts w:hint="eastAsia"/>
                <w:sz w:val="20"/>
                <w:szCs w:val="20"/>
              </w:rPr>
              <w:t>受有</w:t>
            </w:r>
            <w:r w:rsidR="006B7229">
              <w:rPr>
                <w:rFonts w:hint="eastAsia"/>
                <w:sz w:val="20"/>
                <w:szCs w:val="20"/>
              </w:rPr>
              <w:t>損失</w:t>
            </w:r>
            <w:r>
              <w:rPr>
                <w:rFonts w:hint="eastAsia"/>
                <w:sz w:val="20"/>
                <w:szCs w:val="20"/>
              </w:rPr>
              <w:t>等主張</w:t>
            </w:r>
            <w:r w:rsidR="00100D9C">
              <w:rPr>
                <w:rFonts w:hint="eastAsia"/>
                <w:sz w:val="20"/>
                <w:szCs w:val="20"/>
              </w:rPr>
              <w:t>為上訴人</w:t>
            </w:r>
            <w:r w:rsidR="00E76284">
              <w:rPr>
                <w:rFonts w:hint="eastAsia"/>
                <w:sz w:val="20"/>
                <w:szCs w:val="20"/>
              </w:rPr>
              <w:t>等</w:t>
            </w:r>
            <w:r w:rsidR="00100D9C">
              <w:rPr>
                <w:rFonts w:hint="eastAsia"/>
                <w:sz w:val="20"/>
                <w:szCs w:val="20"/>
              </w:rPr>
              <w:t>之事</w:t>
            </w:r>
            <w:r>
              <w:rPr>
                <w:rFonts w:hint="eastAsia"/>
                <w:sz w:val="20"/>
                <w:szCs w:val="20"/>
              </w:rPr>
              <w:t>與其違反銀行法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</w:t>
            </w:r>
            <w:r w:rsidR="003E4F17">
              <w:rPr>
                <w:rFonts w:hint="eastAsia"/>
                <w:sz w:val="20"/>
                <w:szCs w:val="20"/>
              </w:rPr>
              <w:t>皆</w:t>
            </w:r>
            <w:r w:rsidR="00670DCE">
              <w:rPr>
                <w:rFonts w:hint="eastAsia"/>
                <w:sz w:val="20"/>
                <w:szCs w:val="20"/>
              </w:rPr>
              <w:t>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實因上訴人等侵權行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為致使有</w:t>
            </w:r>
            <w:r w:rsidR="002C4072">
              <w:rPr>
                <w:rFonts w:hint="eastAsia"/>
                <w:sz w:val="20"/>
                <w:szCs w:val="20"/>
              </w:rPr>
              <w:t>新台幣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起訴狀證一:</w:t>
            </w:r>
            <w:r w:rsidR="00936F68">
              <w:rPr>
                <w:rFonts w:hint="eastAsia"/>
                <w:sz w:val="20"/>
                <w:szCs w:val="20"/>
              </w:rPr>
              <w:t>臺</w:t>
            </w:r>
            <w:r w:rsidR="00936F68">
              <w:rPr>
                <w:rFonts w:hint="eastAsia"/>
                <w:sz w:val="20"/>
                <w:szCs w:val="20"/>
              </w:rPr>
              <w:lastRenderedPageBreak/>
              <w:t>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</w:t>
            </w:r>
            <w:r w:rsidR="003950E3">
              <w:rPr>
                <w:rFonts w:hint="eastAsia"/>
                <w:sz w:val="20"/>
                <w:szCs w:val="20"/>
              </w:rPr>
              <w:t>存款</w:t>
            </w:r>
            <w:r w:rsidR="00E1311F">
              <w:rPr>
                <w:rFonts w:hint="eastAsia"/>
                <w:sz w:val="20"/>
                <w:szCs w:val="20"/>
              </w:rPr>
              <w:t>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A016CE">
              <w:rPr>
                <w:rFonts w:hint="eastAsia"/>
                <w:sz w:val="20"/>
                <w:szCs w:val="20"/>
              </w:rPr>
              <w:t>紅利成數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起訴狀證五，證六：存摺封面、匯款單、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)最高法院67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年台上字第1737號判例。</w:t>
            </w:r>
          </w:p>
          <w:p w:rsidR="003540E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</w:t>
            </w:r>
            <w:r w:rsidR="003540E4">
              <w:rPr>
                <w:rFonts w:hint="eastAsia"/>
                <w:sz w:val="20"/>
                <w:szCs w:val="20"/>
              </w:rPr>
              <w:t>最高法院103年台上字第1198號民事判決要旨。</w:t>
            </w:r>
          </w:p>
          <w:p w:rsidR="0059661A" w:rsidRDefault="0059661A" w:rsidP="00214241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(3)最高法院78年台上字第2479號民事判決要旨。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C841E3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  <w:r w:rsidR="00C841E3">
              <w:rPr>
                <w:rFonts w:hint="eastAsia"/>
                <w:sz w:val="20"/>
                <w:szCs w:val="20"/>
              </w:rPr>
              <w:t>。</w:t>
            </w:r>
          </w:p>
          <w:p w:rsidR="00C841E3" w:rsidRDefault="00C841E3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(5)民法第185條前段。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9661A">
              <w:rPr>
                <w:rFonts w:hint="eastAsia"/>
                <w:sz w:val="20"/>
                <w:szCs w:val="20"/>
              </w:rPr>
              <w:t>6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424E9E" w:rsidRPr="0004755A" w:rsidRDefault="003540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(7</w:t>
            </w:r>
            <w:r w:rsidR="00424E9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lastRenderedPageBreak/>
              <w:t>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682F7B">
              <w:rPr>
                <w:rFonts w:hint="eastAsia"/>
                <w:sz w:val="20"/>
                <w:szCs w:val="20"/>
              </w:rPr>
              <w:t>為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682F7B">
              <w:rPr>
                <w:rFonts w:hint="eastAsia"/>
                <w:sz w:val="20"/>
                <w:szCs w:val="20"/>
              </w:rPr>
              <w:t>相關事實、</w:t>
            </w:r>
            <w:r>
              <w:rPr>
                <w:rFonts w:hint="eastAsia"/>
                <w:sz w:val="20"/>
                <w:szCs w:val="20"/>
              </w:rPr>
              <w:t>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</w:t>
            </w:r>
            <w:r w:rsidR="0014163B">
              <w:rPr>
                <w:rFonts w:hint="eastAsia"/>
                <w:sz w:val="20"/>
                <w:szCs w:val="20"/>
              </w:rPr>
              <w:t>第1項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6A3C80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所以每次交易都是獨立事件，所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120F0C">
              <w:rPr>
                <w:rFonts w:hint="eastAsia"/>
                <w:sz w:val="20"/>
                <w:szCs w:val="20"/>
              </w:rPr>
              <w:t>投資人都不同成數</w:t>
            </w:r>
            <w:r w:rsidR="009E726B">
              <w:rPr>
                <w:rFonts w:hint="eastAsia"/>
                <w:sz w:val="20"/>
                <w:szCs w:val="20"/>
              </w:rPr>
              <w:t>且都只有領取利息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</w:t>
            </w:r>
            <w:r w:rsidR="00314A46">
              <w:rPr>
                <w:rFonts w:hint="eastAsia"/>
                <w:sz w:val="20"/>
                <w:szCs w:val="20"/>
              </w:rPr>
              <w:t>實際</w:t>
            </w:r>
            <w:r w:rsidR="00C377C7">
              <w:rPr>
                <w:rFonts w:hint="eastAsia"/>
                <w:sz w:val="20"/>
                <w:szCs w:val="20"/>
              </w:rPr>
              <w:t>參與交</w:t>
            </w:r>
            <w:r w:rsidR="000078E3">
              <w:rPr>
                <w:rFonts w:hint="eastAsia"/>
                <w:sz w:val="20"/>
                <w:szCs w:val="20"/>
              </w:rPr>
              <w:t>卷</w:t>
            </w:r>
            <w:r w:rsidR="00C377C7">
              <w:rPr>
                <w:rFonts w:hint="eastAsia"/>
                <w:sz w:val="20"/>
                <w:szCs w:val="20"/>
              </w:rPr>
              <w:t>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314A46">
              <w:rPr>
                <w:rFonts w:hint="eastAsia"/>
                <w:sz w:val="20"/>
                <w:szCs w:val="20"/>
              </w:rPr>
              <w:t>明被上訴人</w:t>
            </w:r>
            <w:r w:rsidR="009D3B75">
              <w:rPr>
                <w:rFonts w:hint="eastAsia"/>
                <w:sz w:val="20"/>
                <w:szCs w:val="20"/>
              </w:rPr>
              <w:t>可</w:t>
            </w:r>
            <w:r w:rsidR="00314A46">
              <w:rPr>
                <w:rFonts w:hint="eastAsia"/>
                <w:sz w:val="20"/>
                <w:szCs w:val="20"/>
              </w:rPr>
              <w:t>領回每期</w:t>
            </w:r>
            <w:r w:rsidR="009E726B">
              <w:rPr>
                <w:rFonts w:hint="eastAsia"/>
                <w:sz w:val="20"/>
                <w:szCs w:val="20"/>
              </w:rPr>
              <w:t>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2010A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2010A1">
              <w:rPr>
                <w:rFonts w:hint="eastAsia"/>
                <w:sz w:val="20"/>
                <w:szCs w:val="20"/>
              </w:rPr>
              <w:t>民訴</w:t>
            </w:r>
            <w:r w:rsidR="0082231D">
              <w:rPr>
                <w:rFonts w:hint="eastAsia"/>
                <w:sz w:val="20"/>
                <w:szCs w:val="20"/>
              </w:rPr>
              <w:t>第</w:t>
            </w:r>
            <w:r w:rsidR="002010A1">
              <w:rPr>
                <w:rFonts w:hint="eastAsia"/>
                <w:sz w:val="20"/>
                <w:szCs w:val="20"/>
              </w:rPr>
              <w:t>449條: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617A7A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617A7A">
              <w:rPr>
                <w:rFonts w:hint="eastAsia"/>
                <w:sz w:val="20"/>
                <w:szCs w:val="20"/>
              </w:rPr>
              <w:t>最高法院42年台上字第865號判例參照。</w:t>
            </w:r>
          </w:p>
          <w:p w:rsidR="002E0AC5" w:rsidRDefault="00617A7A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F064DE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8F5036" w:rsidRDefault="008F5036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)刑法第</w:t>
            </w:r>
            <w:r w:rsidR="00300BF7">
              <w:rPr>
                <w:rFonts w:hint="eastAsia"/>
                <w:sz w:val="20"/>
                <w:szCs w:val="20"/>
              </w:rPr>
              <w:t>13、14條。</w:t>
            </w:r>
          </w:p>
          <w:p w:rsidR="00C73F23" w:rsidRDefault="008F5036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5B306E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6D62C5">
              <w:rPr>
                <w:rFonts w:hint="eastAsia"/>
                <w:sz w:val="20"/>
                <w:szCs w:val="20"/>
              </w:rPr>
              <w:t>民事訴訟法第449條第2項。</w:t>
            </w:r>
          </w:p>
          <w:p w:rsidR="005B306E" w:rsidRDefault="005B306E" w:rsidP="005B306E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(5)民法第339條。</w:t>
            </w:r>
          </w:p>
          <w:p w:rsidR="005B306E" w:rsidRDefault="005B306E" w:rsidP="008F503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A72C79" w:rsidRDefault="00A72C79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</w:p>
    <w:p w:rsidR="001D6475" w:rsidRDefault="00393C98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C34416">
        <w:rPr>
          <w:rFonts w:ascii="標楷體" w:eastAsia="標楷體" w:hAnsi="標楷體" w:hint="eastAsia"/>
          <w:sz w:val="28"/>
          <w:szCs w:val="28"/>
        </w:rPr>
        <w:t>23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CC3B91">
      <w:footerReference w:type="default" r:id="rId8"/>
      <w:pgSz w:w="11906" w:h="16838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A76" w:rsidRDefault="00941A76" w:rsidP="00A13A54">
      <w:r>
        <w:separator/>
      </w:r>
    </w:p>
  </w:endnote>
  <w:endnote w:type="continuationSeparator" w:id="1">
    <w:p w:rsidR="00941A76" w:rsidRDefault="00941A76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44566A">
        <w:pPr>
          <w:pStyle w:val="a5"/>
          <w:jc w:val="center"/>
        </w:pPr>
        <w:fldSimple w:instr="PAGE   \* MERGEFORMAT">
          <w:r w:rsidR="00317D05" w:rsidRPr="00317D05">
            <w:rPr>
              <w:noProof/>
              <w:lang w:val="zh-TW"/>
            </w:rPr>
            <w:t>4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A76" w:rsidRDefault="00941A76" w:rsidP="00A13A54">
      <w:r>
        <w:separator/>
      </w:r>
    </w:p>
  </w:footnote>
  <w:footnote w:type="continuationSeparator" w:id="1">
    <w:p w:rsidR="00941A76" w:rsidRDefault="00941A76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C324490"/>
    <w:multiLevelType w:val="hybridMultilevel"/>
    <w:tmpl w:val="A938371C"/>
    <w:lvl w:ilvl="0" w:tplc="7E70F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078E3"/>
    <w:rsid w:val="0001096D"/>
    <w:rsid w:val="0001630C"/>
    <w:rsid w:val="00020C72"/>
    <w:rsid w:val="00021473"/>
    <w:rsid w:val="00025165"/>
    <w:rsid w:val="00025C0F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46B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3CA7"/>
    <w:rsid w:val="000E4000"/>
    <w:rsid w:val="000E5492"/>
    <w:rsid w:val="000E6E49"/>
    <w:rsid w:val="000F074C"/>
    <w:rsid w:val="000F0A4B"/>
    <w:rsid w:val="000F555E"/>
    <w:rsid w:val="00100D9C"/>
    <w:rsid w:val="001031C5"/>
    <w:rsid w:val="00106D67"/>
    <w:rsid w:val="00106E99"/>
    <w:rsid w:val="001208CE"/>
    <w:rsid w:val="00120F0C"/>
    <w:rsid w:val="001238D8"/>
    <w:rsid w:val="00123B9E"/>
    <w:rsid w:val="00124D65"/>
    <w:rsid w:val="001252E1"/>
    <w:rsid w:val="00133F3B"/>
    <w:rsid w:val="00137DA6"/>
    <w:rsid w:val="00140729"/>
    <w:rsid w:val="0014163B"/>
    <w:rsid w:val="00143C13"/>
    <w:rsid w:val="001449D8"/>
    <w:rsid w:val="0014746D"/>
    <w:rsid w:val="00150D83"/>
    <w:rsid w:val="00154E1D"/>
    <w:rsid w:val="00163C83"/>
    <w:rsid w:val="001649B2"/>
    <w:rsid w:val="001739EC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10A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35C9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4072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0BF7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4A46"/>
    <w:rsid w:val="00315416"/>
    <w:rsid w:val="0031632B"/>
    <w:rsid w:val="00317D05"/>
    <w:rsid w:val="0032379C"/>
    <w:rsid w:val="00332FBE"/>
    <w:rsid w:val="00334091"/>
    <w:rsid w:val="00352067"/>
    <w:rsid w:val="00352968"/>
    <w:rsid w:val="003540E4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950E3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4F17"/>
    <w:rsid w:val="003E57F5"/>
    <w:rsid w:val="003F07A9"/>
    <w:rsid w:val="003F0A2B"/>
    <w:rsid w:val="003F4B82"/>
    <w:rsid w:val="003F5714"/>
    <w:rsid w:val="0040057F"/>
    <w:rsid w:val="00400A31"/>
    <w:rsid w:val="004031F2"/>
    <w:rsid w:val="00404F39"/>
    <w:rsid w:val="004068A2"/>
    <w:rsid w:val="00407155"/>
    <w:rsid w:val="0041052B"/>
    <w:rsid w:val="00412EFB"/>
    <w:rsid w:val="004219D6"/>
    <w:rsid w:val="00424E9E"/>
    <w:rsid w:val="00430364"/>
    <w:rsid w:val="00430E78"/>
    <w:rsid w:val="00434602"/>
    <w:rsid w:val="004373A3"/>
    <w:rsid w:val="004378DF"/>
    <w:rsid w:val="0044093F"/>
    <w:rsid w:val="00441357"/>
    <w:rsid w:val="0044160A"/>
    <w:rsid w:val="0044217B"/>
    <w:rsid w:val="00442284"/>
    <w:rsid w:val="0044566A"/>
    <w:rsid w:val="00450853"/>
    <w:rsid w:val="00451828"/>
    <w:rsid w:val="00451C71"/>
    <w:rsid w:val="00453C10"/>
    <w:rsid w:val="00454A72"/>
    <w:rsid w:val="00461EB8"/>
    <w:rsid w:val="004623C1"/>
    <w:rsid w:val="00466805"/>
    <w:rsid w:val="00472EF3"/>
    <w:rsid w:val="0047374A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2AEF"/>
    <w:rsid w:val="004D5A32"/>
    <w:rsid w:val="004D6CF7"/>
    <w:rsid w:val="004E00F4"/>
    <w:rsid w:val="004E26C6"/>
    <w:rsid w:val="004F0412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9661A"/>
    <w:rsid w:val="005A3BA0"/>
    <w:rsid w:val="005A42D7"/>
    <w:rsid w:val="005A5A6B"/>
    <w:rsid w:val="005A74F3"/>
    <w:rsid w:val="005B17A1"/>
    <w:rsid w:val="005B17E4"/>
    <w:rsid w:val="005B306E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17A7A"/>
    <w:rsid w:val="00623441"/>
    <w:rsid w:val="00626C9D"/>
    <w:rsid w:val="00626D19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2F7B"/>
    <w:rsid w:val="00683A99"/>
    <w:rsid w:val="0069177D"/>
    <w:rsid w:val="00694E30"/>
    <w:rsid w:val="0069509F"/>
    <w:rsid w:val="00697552"/>
    <w:rsid w:val="00697C6E"/>
    <w:rsid w:val="006A248D"/>
    <w:rsid w:val="006A3C80"/>
    <w:rsid w:val="006A3FEE"/>
    <w:rsid w:val="006A7774"/>
    <w:rsid w:val="006A7845"/>
    <w:rsid w:val="006B1626"/>
    <w:rsid w:val="006B26B8"/>
    <w:rsid w:val="006B2B08"/>
    <w:rsid w:val="006B6CC8"/>
    <w:rsid w:val="006B7229"/>
    <w:rsid w:val="006B7D4F"/>
    <w:rsid w:val="006D528D"/>
    <w:rsid w:val="006D587D"/>
    <w:rsid w:val="006D62C5"/>
    <w:rsid w:val="006D7A67"/>
    <w:rsid w:val="006E1988"/>
    <w:rsid w:val="006E1A66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511C"/>
    <w:rsid w:val="0070609F"/>
    <w:rsid w:val="0071218D"/>
    <w:rsid w:val="00716701"/>
    <w:rsid w:val="00717AE0"/>
    <w:rsid w:val="00721E66"/>
    <w:rsid w:val="00724853"/>
    <w:rsid w:val="00730268"/>
    <w:rsid w:val="007303CB"/>
    <w:rsid w:val="00731998"/>
    <w:rsid w:val="007345AC"/>
    <w:rsid w:val="00734A23"/>
    <w:rsid w:val="007350E6"/>
    <w:rsid w:val="007362EC"/>
    <w:rsid w:val="0074029D"/>
    <w:rsid w:val="00743DCC"/>
    <w:rsid w:val="0074585D"/>
    <w:rsid w:val="00745A11"/>
    <w:rsid w:val="00750E27"/>
    <w:rsid w:val="00751778"/>
    <w:rsid w:val="0075335B"/>
    <w:rsid w:val="00755CF9"/>
    <w:rsid w:val="00757E4B"/>
    <w:rsid w:val="00763767"/>
    <w:rsid w:val="00767110"/>
    <w:rsid w:val="00767197"/>
    <w:rsid w:val="00772457"/>
    <w:rsid w:val="007758B0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04A"/>
    <w:rsid w:val="007C02EE"/>
    <w:rsid w:val="007C1B0F"/>
    <w:rsid w:val="007C3130"/>
    <w:rsid w:val="007C3CA7"/>
    <w:rsid w:val="007C6825"/>
    <w:rsid w:val="007D5071"/>
    <w:rsid w:val="007E018E"/>
    <w:rsid w:val="007E649F"/>
    <w:rsid w:val="007E6B33"/>
    <w:rsid w:val="007F14E0"/>
    <w:rsid w:val="007F221E"/>
    <w:rsid w:val="007F51D9"/>
    <w:rsid w:val="007F5A96"/>
    <w:rsid w:val="00802A24"/>
    <w:rsid w:val="00806476"/>
    <w:rsid w:val="00811D33"/>
    <w:rsid w:val="00814B52"/>
    <w:rsid w:val="008157C8"/>
    <w:rsid w:val="00821E57"/>
    <w:rsid w:val="0082231D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5036"/>
    <w:rsid w:val="008F7004"/>
    <w:rsid w:val="008F71AE"/>
    <w:rsid w:val="00902220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1A76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00D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3B75"/>
    <w:rsid w:val="009D635A"/>
    <w:rsid w:val="009E726B"/>
    <w:rsid w:val="009F08EC"/>
    <w:rsid w:val="009F56F0"/>
    <w:rsid w:val="00A016CE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715"/>
    <w:rsid w:val="00A43CE3"/>
    <w:rsid w:val="00A45B81"/>
    <w:rsid w:val="00A46D21"/>
    <w:rsid w:val="00A5074C"/>
    <w:rsid w:val="00A538F3"/>
    <w:rsid w:val="00A553A2"/>
    <w:rsid w:val="00A5751C"/>
    <w:rsid w:val="00A61E37"/>
    <w:rsid w:val="00A67154"/>
    <w:rsid w:val="00A72C79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4265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2DD2"/>
    <w:rsid w:val="00B72F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3E3E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441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3F23"/>
    <w:rsid w:val="00C75E0C"/>
    <w:rsid w:val="00C76D75"/>
    <w:rsid w:val="00C77373"/>
    <w:rsid w:val="00C82DBA"/>
    <w:rsid w:val="00C836CA"/>
    <w:rsid w:val="00C841E3"/>
    <w:rsid w:val="00C85C20"/>
    <w:rsid w:val="00C90408"/>
    <w:rsid w:val="00C90730"/>
    <w:rsid w:val="00C91ACF"/>
    <w:rsid w:val="00C958AF"/>
    <w:rsid w:val="00CA0DAF"/>
    <w:rsid w:val="00CA7B01"/>
    <w:rsid w:val="00CB5058"/>
    <w:rsid w:val="00CB6077"/>
    <w:rsid w:val="00CB6273"/>
    <w:rsid w:val="00CB6F42"/>
    <w:rsid w:val="00CB7208"/>
    <w:rsid w:val="00CC3B91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51AE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BC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D98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76284"/>
    <w:rsid w:val="00E8234C"/>
    <w:rsid w:val="00E84782"/>
    <w:rsid w:val="00E84895"/>
    <w:rsid w:val="00E85E1F"/>
    <w:rsid w:val="00E87C30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3F44"/>
    <w:rsid w:val="00EE5B3F"/>
    <w:rsid w:val="00EF1650"/>
    <w:rsid w:val="00EF1DC3"/>
    <w:rsid w:val="00EF73B3"/>
    <w:rsid w:val="00F02504"/>
    <w:rsid w:val="00F05D85"/>
    <w:rsid w:val="00F064DE"/>
    <w:rsid w:val="00F066CD"/>
    <w:rsid w:val="00F0689D"/>
    <w:rsid w:val="00F10DD6"/>
    <w:rsid w:val="00F13F4C"/>
    <w:rsid w:val="00F143C1"/>
    <w:rsid w:val="00F20468"/>
    <w:rsid w:val="00F22391"/>
    <w:rsid w:val="00F238B7"/>
    <w:rsid w:val="00F24BA9"/>
    <w:rsid w:val="00F27A03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22AD4-0923-43D0-A523-430C7DE6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361</Words>
  <Characters>2059</Characters>
  <Application>Microsoft Office Word</Application>
  <DocSecurity>0</DocSecurity>
  <Lines>17</Lines>
  <Paragraphs>4</Paragraphs>
  <ScaleCrop>false</ScaleCrop>
  <Company>Innolux Corp.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212</cp:revision>
  <cp:lastPrinted>2019-11-28T23:54:00Z</cp:lastPrinted>
  <dcterms:created xsi:type="dcterms:W3CDTF">2020-05-12T03:48:00Z</dcterms:created>
  <dcterms:modified xsi:type="dcterms:W3CDTF">2020-05-19T03:49:00Z</dcterms:modified>
</cp:coreProperties>
</file>