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DF01AA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上訴人王寶琴與被視同上訴人謝淑美因共同違反銀行法第29條第1項、第29條之1之規定並犯同法第125條第1項前段罪嫌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8D28EE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>
        <w:rPr>
          <w:rFonts w:hint="eastAsia"/>
        </w:rPr>
        <w:t>，並</w:t>
      </w:r>
      <w:r w:rsidR="000373DE">
        <w:rPr>
          <w:rFonts w:hint="eastAsia"/>
        </w:rPr>
        <w:t>累計</w:t>
      </w:r>
      <w:r w:rsidR="00DF1A21">
        <w:rPr>
          <w:rFonts w:hint="eastAsia"/>
        </w:rPr>
        <w:t>領回本息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新光櫃位卷事項都是</w:t>
      </w:r>
      <w:r w:rsidR="00C55D96">
        <w:rPr>
          <w:rFonts w:hint="eastAsia"/>
        </w:rPr>
        <w:t>由</w:t>
      </w:r>
      <w:r>
        <w:rPr>
          <w:rFonts w:hint="eastAsia"/>
        </w:rPr>
        <w:t>上訴人王寶琴經手辦理。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04755A">
              <w:rPr>
                <w:rFonts w:hint="eastAsia"/>
                <w:kern w:val="0"/>
                <w:sz w:val="20"/>
                <w:szCs w:val="20"/>
              </w:rPr>
              <w:t>王寶琴是否為有違反保</w:t>
            </w:r>
            <w:r w:rsidRPr="0004755A">
              <w:rPr>
                <w:rFonts w:hint="eastAsia"/>
                <w:kern w:val="0"/>
                <w:sz w:val="20"/>
                <w:szCs w:val="20"/>
              </w:rPr>
              <w:lastRenderedPageBreak/>
              <w:t>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(民184.2)</w:t>
            </w:r>
          </w:p>
        </w:tc>
        <w:tc>
          <w:tcPr>
            <w:tcW w:w="1559" w:type="dxa"/>
          </w:tcPr>
          <w:p w:rsidR="00DC1735" w:rsidRPr="0004755A" w:rsidRDefault="007C1B0F" w:rsidP="00AD77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也是投資受害者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</w:t>
            </w:r>
            <w:r w:rsidR="00106E99">
              <w:rPr>
                <w:rFonts w:hint="eastAsia"/>
                <w:sz w:val="20"/>
                <w:szCs w:val="20"/>
              </w:rPr>
              <w:lastRenderedPageBreak/>
              <w:t>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與謝淑美並無共同犯意，</w:t>
            </w:r>
            <w:r w:rsidR="002A5FC6">
              <w:rPr>
                <w:rFonts w:hint="eastAsia"/>
                <w:sz w:val="20"/>
                <w:szCs w:val="20"/>
              </w:rPr>
              <w:t>所以不</w:t>
            </w:r>
            <w:r w:rsidR="00106E99">
              <w:rPr>
                <w:rFonts w:hint="eastAsia"/>
                <w:sz w:val="20"/>
                <w:szCs w:val="20"/>
              </w:rPr>
              <w:t>會</w:t>
            </w:r>
            <w:r w:rsidR="002A5FC6">
              <w:rPr>
                <w:rFonts w:hint="eastAsia"/>
                <w:sz w:val="20"/>
                <w:szCs w:val="20"/>
              </w:rPr>
              <w:t>是加害者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DC1735" w:rsidRPr="0004755A" w:rsidRDefault="00936F68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原檢察官起訴書(臺灣臺南</w:t>
            </w:r>
            <w:r>
              <w:rPr>
                <w:rFonts w:hint="eastAsia"/>
                <w:sz w:val="20"/>
                <w:szCs w:val="20"/>
              </w:rPr>
              <w:lastRenderedPageBreak/>
              <w:t>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E41988">
              <w:rPr>
                <w:rFonts w:hint="eastAsia"/>
                <w:sz w:val="20"/>
                <w:szCs w:val="20"/>
              </w:rPr>
              <w:t>說明新光三越禮卷或是櫃位卷投資皆是由謝淑美主導捏造，並由包含王寶琴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等下線人員進行招募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吸收存款給予紅利</w:t>
            </w:r>
            <w:r w:rsidR="00E41988">
              <w:rPr>
                <w:rFonts w:hint="eastAsia"/>
                <w:sz w:val="20"/>
                <w:szCs w:val="20"/>
              </w:rPr>
              <w:t>等事證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)王寶琴宣稱也有投資損失或受謝淑美欺騙等主張與其</w:t>
            </w:r>
            <w:r w:rsidR="00966BA8">
              <w:rPr>
                <w:rFonts w:hint="eastAsia"/>
                <w:sz w:val="20"/>
                <w:szCs w:val="20"/>
              </w:rPr>
              <w:t>明確</w:t>
            </w:r>
            <w:r>
              <w:rPr>
                <w:rFonts w:hint="eastAsia"/>
                <w:sz w:val="20"/>
                <w:szCs w:val="20"/>
              </w:rPr>
              <w:t>違反銀行法</w:t>
            </w:r>
            <w:r w:rsidR="00031DD8">
              <w:rPr>
                <w:rFonts w:hint="eastAsia"/>
                <w:sz w:val="20"/>
                <w:szCs w:val="20"/>
              </w:rPr>
              <w:t>行為</w:t>
            </w:r>
            <w:r w:rsidR="00966BA8">
              <w:rPr>
                <w:rFonts w:hint="eastAsia"/>
                <w:sz w:val="20"/>
                <w:szCs w:val="20"/>
              </w:rPr>
              <w:t>致</w:t>
            </w:r>
            <w:r>
              <w:rPr>
                <w:rFonts w:hint="eastAsia"/>
                <w:sz w:val="20"/>
                <w:szCs w:val="20"/>
              </w:rPr>
              <w:t>使被上訴人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之事證並不相關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D25169">
              <w:rPr>
                <w:rFonts w:hint="eastAsia"/>
                <w:sz w:val="20"/>
                <w:szCs w:val="20"/>
              </w:rPr>
              <w:t>皆由王寶琴自行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550170">
              <w:rPr>
                <w:rFonts w:hint="eastAsia"/>
                <w:sz w:val="20"/>
                <w:szCs w:val="20"/>
              </w:rPr>
              <w:t>計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C45910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實因上訴人等侵權行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為致使</w:t>
            </w:r>
            <w:r w:rsidR="00E41988">
              <w:rPr>
                <w:rFonts w:hint="eastAsia"/>
                <w:sz w:val="20"/>
                <w:szCs w:val="20"/>
              </w:rPr>
              <w:t>總</w:t>
            </w:r>
            <w:r w:rsidR="001E39E2">
              <w:rPr>
                <w:rFonts w:hint="eastAsia"/>
                <w:sz w:val="20"/>
                <w:szCs w:val="20"/>
              </w:rPr>
              <w:t>計有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起訴狀證一:</w:t>
            </w:r>
            <w:r w:rsidR="00936F68">
              <w:rPr>
                <w:rFonts w:hint="eastAsia"/>
                <w:sz w:val="20"/>
                <w:szCs w:val="20"/>
              </w:rPr>
              <w:t>臺</w:t>
            </w:r>
            <w:r w:rsidR="00936F68">
              <w:rPr>
                <w:rFonts w:hint="eastAsia"/>
                <w:sz w:val="20"/>
                <w:szCs w:val="20"/>
              </w:rPr>
              <w:lastRenderedPageBreak/>
              <w:t>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E1311F">
              <w:rPr>
                <w:rFonts w:hint="eastAsia"/>
                <w:sz w:val="20"/>
                <w:szCs w:val="20"/>
              </w:rPr>
              <w:t>說明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招募對象及吸收資</w:t>
            </w:r>
            <w:r w:rsidR="00936F68">
              <w:rPr>
                <w:rFonts w:hint="eastAsia"/>
                <w:sz w:val="20"/>
                <w:szCs w:val="20"/>
              </w:rPr>
              <w:t>資</w:t>
            </w:r>
            <w:r w:rsidR="00E1311F">
              <w:rPr>
                <w:rFonts w:hint="eastAsia"/>
                <w:sz w:val="20"/>
                <w:szCs w:val="20"/>
              </w:rPr>
              <w:t>金及允諾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2E1704">
              <w:rPr>
                <w:rFonts w:hint="eastAsia"/>
                <w:sz w:val="20"/>
                <w:szCs w:val="20"/>
              </w:rPr>
              <w:t>利息</w:t>
            </w:r>
            <w:r w:rsidR="00CE29AE">
              <w:rPr>
                <w:rFonts w:hint="eastAsia"/>
                <w:sz w:val="20"/>
                <w:szCs w:val="20"/>
              </w:rPr>
              <w:t>紅利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一審判決書-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BA3930">
              <w:rPr>
                <w:rFonts w:hint="eastAsia"/>
                <w:sz w:val="20"/>
                <w:szCs w:val="20"/>
              </w:rPr>
              <w:t>，說明王寶琴有重中獲取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起訴狀證五，證六：存摺封面、匯款單、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960534">
              <w:rPr>
                <w:rFonts w:hint="eastAsia"/>
                <w:sz w:val="20"/>
                <w:szCs w:val="20"/>
              </w:rPr>
              <w:t>說明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)最高法院67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年台上字第1737號判例。</w:t>
            </w:r>
          </w:p>
          <w:p w:rsidR="00430364" w:rsidRPr="0043036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(2)民法第185條前段。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4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</w:t>
            </w:r>
            <w:r w:rsidR="00EA246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t>第</w:t>
            </w:r>
            <w:r w:rsidR="00EA246E">
              <w:rPr>
                <w:rFonts w:hint="eastAsia"/>
                <w:sz w:val="20"/>
                <w:szCs w:val="20"/>
              </w:rPr>
              <w:t>216，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EA246E">
              <w:rPr>
                <w:rFonts w:hint="eastAsia"/>
                <w:sz w:val="20"/>
                <w:szCs w:val="20"/>
              </w:rPr>
              <w:t>216.1條。</w:t>
            </w:r>
          </w:p>
          <w:p w:rsidR="00424E9E" w:rsidRPr="0004755A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(6</w:t>
            </w:r>
            <w:r w:rsidR="00424E9E">
              <w:rPr>
                <w:rFonts w:hint="eastAsia"/>
                <w:sz w:val="20"/>
                <w:szCs w:val="20"/>
              </w:rPr>
              <w:t>)民法第179條。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7C1B0F" w:rsidP="00BF37F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刑事案件並未判決，民事一審確</w:t>
            </w:r>
            <w:r w:rsidR="00ED794E">
              <w:rPr>
                <w:rFonts w:hint="eastAsia"/>
                <w:sz w:val="20"/>
                <w:szCs w:val="20"/>
              </w:rPr>
              <w:t>已審判</w:t>
            </w:r>
            <w:r>
              <w:rPr>
                <w:rFonts w:hint="eastAsia"/>
                <w:sz w:val="20"/>
                <w:szCs w:val="20"/>
              </w:rPr>
              <w:t>，過於速斷</w:t>
            </w:r>
            <w:r w:rsidR="0071218D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違反</w:t>
            </w:r>
            <w:r w:rsidR="00E903A3">
              <w:rPr>
                <w:rFonts w:hint="eastAsia"/>
                <w:sz w:val="20"/>
                <w:szCs w:val="20"/>
              </w:rPr>
              <w:t>論理及</w:t>
            </w:r>
            <w:r w:rsidR="00BF37FA">
              <w:rPr>
                <w:rFonts w:hint="eastAsia"/>
                <w:sz w:val="20"/>
                <w:szCs w:val="20"/>
              </w:rPr>
              <w:t>經驗法則。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F6505E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王寶琴是否也因故意或過失不法侵害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(民184.1)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4373A3">
              <w:rPr>
                <w:rFonts w:hint="eastAsia"/>
                <w:sz w:val="20"/>
                <w:szCs w:val="20"/>
              </w:rPr>
              <w:t>證據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P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都是獨立事件，所以也應該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031DD8">
              <w:rPr>
                <w:rFonts w:hint="eastAsia"/>
                <w:sz w:val="20"/>
                <w:szCs w:val="20"/>
              </w:rPr>
              <w:t>謝淑美只給王寶琴利息，但王寶琴每期卻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9E726B">
              <w:rPr>
                <w:rFonts w:hint="eastAsia"/>
                <w:sz w:val="20"/>
                <w:szCs w:val="20"/>
              </w:rPr>
              <w:t>說明王寶琴故意</w:t>
            </w:r>
            <w:r w:rsidR="00506A6E">
              <w:rPr>
                <w:rFonts w:hint="eastAsia"/>
                <w:sz w:val="20"/>
                <w:szCs w:val="20"/>
              </w:rPr>
              <w:t>捏造投資安全有保障之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9E726B">
              <w:rPr>
                <w:rFonts w:hint="eastAsia"/>
                <w:sz w:val="20"/>
                <w:szCs w:val="20"/>
              </w:rPr>
              <w:t>說明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9E726B">
              <w:rPr>
                <w:rFonts w:hint="eastAsia"/>
                <w:sz w:val="20"/>
                <w:szCs w:val="20"/>
              </w:rPr>
              <w:t>投資人都不同紅利且都只有</w:t>
            </w:r>
            <w:r w:rsidR="009E726B">
              <w:rPr>
                <w:rFonts w:hint="eastAsia"/>
                <w:sz w:val="20"/>
                <w:szCs w:val="20"/>
              </w:rPr>
              <w:lastRenderedPageBreak/>
              <w:t>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E4225A">
              <w:rPr>
                <w:rFonts w:hint="eastAsia"/>
                <w:sz w:val="20"/>
                <w:szCs w:val="20"/>
              </w:rPr>
              <w:t>)一審判決書:謝淑美證詞(王寶琴從未參與交</w:t>
            </w:r>
            <w:r w:rsidR="0026237C">
              <w:rPr>
                <w:rFonts w:hint="eastAsia"/>
                <w:sz w:val="20"/>
                <w:szCs w:val="20"/>
              </w:rPr>
              <w:t>易</w:t>
            </w:r>
            <w:r w:rsidR="00E4225A">
              <w:rPr>
                <w:rFonts w:hint="eastAsia"/>
                <w:sz w:val="20"/>
                <w:szCs w:val="20"/>
              </w:rPr>
              <w:t>流程)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9E726B">
              <w:rPr>
                <w:rFonts w:hint="eastAsia"/>
                <w:sz w:val="20"/>
                <w:szCs w:val="20"/>
              </w:rPr>
              <w:t>說明王寶琴</w:t>
            </w:r>
            <w:r>
              <w:rPr>
                <w:rFonts w:hint="eastAsia"/>
                <w:sz w:val="20"/>
                <w:szCs w:val="20"/>
              </w:rPr>
              <w:t>為了吸收資金</w:t>
            </w:r>
            <w:r w:rsidR="009E726B">
              <w:rPr>
                <w:rFonts w:hint="eastAsia"/>
                <w:sz w:val="20"/>
                <w:szCs w:val="20"/>
              </w:rPr>
              <w:t>有故意</w:t>
            </w:r>
            <w:r>
              <w:rPr>
                <w:rFonts w:hint="eastAsia"/>
                <w:sz w:val="20"/>
                <w:szCs w:val="20"/>
              </w:rPr>
              <w:t>欺騙被上訴人</w:t>
            </w:r>
            <w:r w:rsidR="000C37EC">
              <w:rPr>
                <w:rFonts w:hint="eastAsia"/>
                <w:sz w:val="20"/>
                <w:szCs w:val="20"/>
              </w:rPr>
              <w:t>之事證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9E726B">
              <w:rPr>
                <w:rFonts w:hint="eastAsia"/>
                <w:sz w:val="20"/>
                <w:szCs w:val="20"/>
              </w:rPr>
              <w:t>說明被上訴人領有本金及利息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2E0AC5" w:rsidRDefault="00297631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民法第184條第1項前段。</w:t>
            </w:r>
          </w:p>
        </w:tc>
      </w:tr>
    </w:tbl>
    <w:p w:rsidR="008748AE" w:rsidRDefault="008748AE" w:rsidP="00214241">
      <w:pPr>
        <w:spacing w:line="480" w:lineRule="exact"/>
        <w:ind w:left="480"/>
        <w:rPr>
          <w:rFonts w:ascii="標楷體" w:eastAsia="標楷體" w:hAnsi="標楷體" w:hint="eastAsia"/>
          <w:sz w:val="28"/>
          <w:szCs w:val="28"/>
        </w:rPr>
      </w:pPr>
    </w:p>
    <w:p w:rsidR="002506D4" w:rsidRDefault="002506D4" w:rsidP="00214241">
      <w:pPr>
        <w:spacing w:line="480" w:lineRule="exact"/>
        <w:ind w:left="480"/>
        <w:rPr>
          <w:rFonts w:ascii="標楷體" w:eastAsia="標楷體" w:hAnsi="標楷體" w:hint="eastAsia"/>
          <w:sz w:val="28"/>
          <w:szCs w:val="28"/>
        </w:rPr>
      </w:pPr>
    </w:p>
    <w:p w:rsidR="008748AE" w:rsidRDefault="008748AE" w:rsidP="00214241">
      <w:pPr>
        <w:spacing w:line="480" w:lineRule="exact"/>
        <w:ind w:left="480"/>
        <w:rPr>
          <w:rFonts w:ascii="標楷體" w:eastAsia="標楷體" w:hAnsi="標楷體" w:hint="eastAsia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506D4">
        <w:rPr>
          <w:rFonts w:ascii="標楷體" w:eastAsia="標楷體" w:hAnsi="標楷體" w:hint="eastAsia"/>
          <w:sz w:val="28"/>
          <w:szCs w:val="28"/>
        </w:rPr>
        <w:t>30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FF35B9" w:rsidRDefault="001D6475" w:rsidP="00935FB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FF35B9" w:rsidSect="00DC1735">
      <w:footerReference w:type="default" r:id="rId8"/>
      <w:pgSz w:w="11906" w:h="16838"/>
      <w:pgMar w:top="1440" w:right="1080" w:bottom="1440" w:left="1080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767" w:rsidRDefault="00763767" w:rsidP="00A13A54">
      <w:r>
        <w:separator/>
      </w:r>
    </w:p>
  </w:endnote>
  <w:endnote w:type="continuationSeparator" w:id="1">
    <w:p w:rsidR="00763767" w:rsidRDefault="00763767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4F3DA3">
        <w:pPr>
          <w:pStyle w:val="a5"/>
          <w:jc w:val="center"/>
        </w:pPr>
        <w:fldSimple w:instr="PAGE   \* MERGEFORMAT">
          <w:r w:rsidR="00DF1A21" w:rsidRPr="00DF1A21">
            <w:rPr>
              <w:noProof/>
              <w:lang w:val="zh-TW"/>
            </w:rPr>
            <w:t>4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767" w:rsidRDefault="00763767" w:rsidP="00A13A54">
      <w:r>
        <w:separator/>
      </w:r>
    </w:p>
  </w:footnote>
  <w:footnote w:type="continuationSeparator" w:id="1">
    <w:p w:rsidR="00763767" w:rsidRDefault="00763767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960"/>
    <w:rsid w:val="00003F38"/>
    <w:rsid w:val="00006B16"/>
    <w:rsid w:val="0001096D"/>
    <w:rsid w:val="0001630C"/>
    <w:rsid w:val="00020C72"/>
    <w:rsid w:val="00021473"/>
    <w:rsid w:val="00025165"/>
    <w:rsid w:val="00027965"/>
    <w:rsid w:val="000312BC"/>
    <w:rsid w:val="00031DD8"/>
    <w:rsid w:val="000373DE"/>
    <w:rsid w:val="000409DC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BF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06E99"/>
    <w:rsid w:val="001208CE"/>
    <w:rsid w:val="001238D8"/>
    <w:rsid w:val="00123B9E"/>
    <w:rsid w:val="00124D65"/>
    <w:rsid w:val="001252E1"/>
    <w:rsid w:val="00133F3B"/>
    <w:rsid w:val="00137DA6"/>
    <w:rsid w:val="00140729"/>
    <w:rsid w:val="00143C13"/>
    <w:rsid w:val="001449D8"/>
    <w:rsid w:val="0014746D"/>
    <w:rsid w:val="00150D83"/>
    <w:rsid w:val="00154E1D"/>
    <w:rsid w:val="00163C83"/>
    <w:rsid w:val="001649B2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36B5"/>
    <w:rsid w:val="00203957"/>
    <w:rsid w:val="0020398B"/>
    <w:rsid w:val="00206EA1"/>
    <w:rsid w:val="00207300"/>
    <w:rsid w:val="00214241"/>
    <w:rsid w:val="0022272E"/>
    <w:rsid w:val="00222C6D"/>
    <w:rsid w:val="00224990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91861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07A9"/>
    <w:rsid w:val="003F0A2B"/>
    <w:rsid w:val="003F4B82"/>
    <w:rsid w:val="003F5714"/>
    <w:rsid w:val="0040057F"/>
    <w:rsid w:val="00400A31"/>
    <w:rsid w:val="00404F39"/>
    <w:rsid w:val="00407155"/>
    <w:rsid w:val="0041052B"/>
    <w:rsid w:val="004219D6"/>
    <w:rsid w:val="00424E9E"/>
    <w:rsid w:val="00430364"/>
    <w:rsid w:val="00430E78"/>
    <w:rsid w:val="00434602"/>
    <w:rsid w:val="004373A3"/>
    <w:rsid w:val="004378DF"/>
    <w:rsid w:val="0044093F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2EF3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5A32"/>
    <w:rsid w:val="004D6CF7"/>
    <w:rsid w:val="004E00F4"/>
    <w:rsid w:val="004E26C6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50170"/>
    <w:rsid w:val="0055491F"/>
    <w:rsid w:val="00554B9A"/>
    <w:rsid w:val="005646D2"/>
    <w:rsid w:val="00571A18"/>
    <w:rsid w:val="0057400B"/>
    <w:rsid w:val="00580355"/>
    <w:rsid w:val="00584A58"/>
    <w:rsid w:val="005901F6"/>
    <w:rsid w:val="00594E8B"/>
    <w:rsid w:val="005A3BA0"/>
    <w:rsid w:val="005A42D7"/>
    <w:rsid w:val="005A5A6B"/>
    <w:rsid w:val="005A74F3"/>
    <w:rsid w:val="005B17A1"/>
    <w:rsid w:val="005B17E4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4D5B"/>
    <w:rsid w:val="005F510F"/>
    <w:rsid w:val="005F6197"/>
    <w:rsid w:val="005F6DE9"/>
    <w:rsid w:val="005F7E81"/>
    <w:rsid w:val="00603714"/>
    <w:rsid w:val="0060391F"/>
    <w:rsid w:val="00603E70"/>
    <w:rsid w:val="00610CAA"/>
    <w:rsid w:val="00623441"/>
    <w:rsid w:val="00626C9D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3A99"/>
    <w:rsid w:val="00694E30"/>
    <w:rsid w:val="0069509F"/>
    <w:rsid w:val="00697552"/>
    <w:rsid w:val="00697C6E"/>
    <w:rsid w:val="006A248D"/>
    <w:rsid w:val="006A3FEE"/>
    <w:rsid w:val="006A7845"/>
    <w:rsid w:val="006B1626"/>
    <w:rsid w:val="006B26B8"/>
    <w:rsid w:val="006B2B08"/>
    <w:rsid w:val="006B6CC8"/>
    <w:rsid w:val="006B7D4F"/>
    <w:rsid w:val="006D528D"/>
    <w:rsid w:val="006D587D"/>
    <w:rsid w:val="006D7A67"/>
    <w:rsid w:val="006E1988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609F"/>
    <w:rsid w:val="0071218D"/>
    <w:rsid w:val="00716701"/>
    <w:rsid w:val="00717AE0"/>
    <w:rsid w:val="00721E66"/>
    <w:rsid w:val="00730268"/>
    <w:rsid w:val="007303CB"/>
    <w:rsid w:val="00731998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57E4B"/>
    <w:rsid w:val="00763767"/>
    <w:rsid w:val="00767110"/>
    <w:rsid w:val="00772457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1B0F"/>
    <w:rsid w:val="007C3130"/>
    <w:rsid w:val="007C3CA7"/>
    <w:rsid w:val="007C6825"/>
    <w:rsid w:val="007E018E"/>
    <w:rsid w:val="007E649F"/>
    <w:rsid w:val="007F14E0"/>
    <w:rsid w:val="007F221E"/>
    <w:rsid w:val="007F5A96"/>
    <w:rsid w:val="00806476"/>
    <w:rsid w:val="00811D33"/>
    <w:rsid w:val="00814B52"/>
    <w:rsid w:val="008157C8"/>
    <w:rsid w:val="00821E57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4D5D"/>
    <w:rsid w:val="008F2A44"/>
    <w:rsid w:val="008F7004"/>
    <w:rsid w:val="008F71AE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635A"/>
    <w:rsid w:val="009E726B"/>
    <w:rsid w:val="009F08EC"/>
    <w:rsid w:val="009F56F0"/>
    <w:rsid w:val="00A036D9"/>
    <w:rsid w:val="00A050A8"/>
    <w:rsid w:val="00A077F8"/>
    <w:rsid w:val="00A11EC7"/>
    <w:rsid w:val="00A13A54"/>
    <w:rsid w:val="00A16022"/>
    <w:rsid w:val="00A1621A"/>
    <w:rsid w:val="00A17659"/>
    <w:rsid w:val="00A17EC9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D128E"/>
    <w:rsid w:val="00AD2828"/>
    <w:rsid w:val="00AD41B5"/>
    <w:rsid w:val="00AD77D8"/>
    <w:rsid w:val="00AE44C1"/>
    <w:rsid w:val="00AE4D77"/>
    <w:rsid w:val="00AE7B93"/>
    <w:rsid w:val="00AF0202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49DE"/>
    <w:rsid w:val="00BC1861"/>
    <w:rsid w:val="00BC252B"/>
    <w:rsid w:val="00BD0041"/>
    <w:rsid w:val="00BD09D0"/>
    <w:rsid w:val="00BD40AD"/>
    <w:rsid w:val="00BD514A"/>
    <w:rsid w:val="00BD5D1F"/>
    <w:rsid w:val="00BD5D4D"/>
    <w:rsid w:val="00BD78D1"/>
    <w:rsid w:val="00BE0F9E"/>
    <w:rsid w:val="00BE2037"/>
    <w:rsid w:val="00BE6078"/>
    <w:rsid w:val="00BE7136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54AC"/>
    <w:rsid w:val="00C36E7A"/>
    <w:rsid w:val="00C3707E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6D75"/>
    <w:rsid w:val="00C82DBA"/>
    <w:rsid w:val="00C836CA"/>
    <w:rsid w:val="00C85C20"/>
    <w:rsid w:val="00C90408"/>
    <w:rsid w:val="00C90730"/>
    <w:rsid w:val="00C91ACF"/>
    <w:rsid w:val="00CA0DAF"/>
    <w:rsid w:val="00CB5058"/>
    <w:rsid w:val="00CB6273"/>
    <w:rsid w:val="00CB6F42"/>
    <w:rsid w:val="00CB7208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64AD"/>
    <w:rsid w:val="00CE6956"/>
    <w:rsid w:val="00CE7F67"/>
    <w:rsid w:val="00CF009B"/>
    <w:rsid w:val="00CF046E"/>
    <w:rsid w:val="00CF105A"/>
    <w:rsid w:val="00CF3FC4"/>
    <w:rsid w:val="00CF7B29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4F18"/>
    <w:rsid w:val="00D35EB8"/>
    <w:rsid w:val="00D3720C"/>
    <w:rsid w:val="00D42633"/>
    <w:rsid w:val="00D52250"/>
    <w:rsid w:val="00D53A4D"/>
    <w:rsid w:val="00D55ADF"/>
    <w:rsid w:val="00D566C4"/>
    <w:rsid w:val="00D566DC"/>
    <w:rsid w:val="00D61BED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8234C"/>
    <w:rsid w:val="00E84782"/>
    <w:rsid w:val="00E85E1F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5B3F"/>
    <w:rsid w:val="00EF1DC3"/>
    <w:rsid w:val="00F02504"/>
    <w:rsid w:val="00F05D85"/>
    <w:rsid w:val="00F066CD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BEDE-598B-4A56-A488-9D1208AF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318</Words>
  <Characters>1819</Characters>
  <Application>Microsoft Office Word</Application>
  <DocSecurity>0</DocSecurity>
  <Lines>15</Lines>
  <Paragraphs>4</Paragraphs>
  <ScaleCrop>false</ScaleCrop>
  <Company>Innolux Corp.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121</cp:revision>
  <cp:lastPrinted>2019-11-28T23:54:00Z</cp:lastPrinted>
  <dcterms:created xsi:type="dcterms:W3CDTF">2020-05-12T03:48:00Z</dcterms:created>
  <dcterms:modified xsi:type="dcterms:W3CDTF">2020-05-15T02:51:00Z</dcterms:modified>
</cp:coreProperties>
</file>