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w:t>
      </w:r>
      <w:r w:rsidR="002E57DB">
        <w:rPr>
          <w:rFonts w:hint="eastAsia"/>
          <w:b/>
        </w:rPr>
        <w:t>裁定</w:t>
      </w:r>
      <w:r w:rsidRPr="00D17297">
        <w:rPr>
          <w:rFonts w:hint="eastAsia"/>
          <w:b/>
        </w:rPr>
        <w:t>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BC7AC8">
        <w:rPr>
          <w:rFonts w:hint="eastAsia"/>
        </w:rPr>
        <w:t>所提之準備狀中對於證據能力主張為：(1)</w:t>
      </w:r>
      <w:r w:rsidR="00D24AA4">
        <w:rPr>
          <w:rFonts w:hint="eastAsia"/>
        </w:rPr>
        <w:t>檢察官</w:t>
      </w:r>
      <w:r w:rsidR="00BC7AC8">
        <w:rPr>
          <w:rFonts w:hint="eastAsia"/>
        </w:rPr>
        <w:t>起訴書所載被告王寶琴以外之人調查站筆錄及警詢筆錄均係被告以外之人審判外陳述，無證</w:t>
      </w:r>
      <w:r w:rsidR="00BC7AC8">
        <w:rPr>
          <w:rFonts w:hint="eastAsia"/>
        </w:rPr>
        <w:lastRenderedPageBreak/>
        <w:t>據能力。(2)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BD144D">
        <w:rPr>
          <w:rFonts w:hint="eastAsia"/>
        </w:rPr>
        <w:t>所提之準備狀中對於起訴書及所附之清單證據能力主張為：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796EF6">
        <w:rPr>
          <w:rFonts w:hint="eastAsia"/>
          <w:u w:val="thick"/>
        </w:rPr>
        <w:t>「以</w:t>
      </w:r>
      <w:r w:rsidR="00842465" w:rsidRPr="00796EF6">
        <w:rPr>
          <w:rFonts w:hint="eastAsia"/>
          <w:u w:val="thick"/>
        </w:rPr>
        <w:t>前」</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176368">
        <w:rPr>
          <w:rFonts w:hint="eastAsia"/>
          <w:u w:val="thick"/>
        </w:rPr>
        <w:t>還需要她的200萬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w:t>
      </w:r>
      <w:r w:rsidR="003E54C9">
        <w:rPr>
          <w:rFonts w:hint="eastAsia"/>
        </w:rPr>
        <w:t>除</w:t>
      </w:r>
      <w:r w:rsidR="00C12DF2">
        <w:rPr>
          <w:rFonts w:hint="eastAsia"/>
        </w:rPr>
        <w:t>能夠決定她招募投資人的利潤成數，也</w:t>
      </w:r>
      <w:r w:rsidR="00C12DF2">
        <w:rPr>
          <w:rFonts w:hint="eastAsia"/>
        </w:rPr>
        <w:lastRenderedPageBreak/>
        <w:t>可從中抽傭，傭金的成數</w:t>
      </w:r>
      <w:r w:rsidR="00997DBA">
        <w:rPr>
          <w:rFonts w:hint="eastAsia"/>
        </w:rPr>
        <w:t>也</w:t>
      </w:r>
      <w:r w:rsidR="007776DA">
        <w:rPr>
          <w:rFonts w:hint="eastAsia"/>
        </w:rPr>
        <w:t>都</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被上訴人並不清楚民法第184條第1項前段及後段之請求權</w:t>
      </w:r>
      <w:r w:rsidR="00066D40">
        <w:rPr>
          <w:rFonts w:hint="eastAsia"/>
        </w:rPr>
        <w:t>在法律上意義</w:t>
      </w:r>
      <w:r>
        <w:rPr>
          <w:rFonts w:hint="eastAsia"/>
        </w:rPr>
        <w:t>不同，</w:t>
      </w:r>
      <w:r w:rsidR="00A6274D">
        <w:rPr>
          <w:rFonts w:hint="eastAsia"/>
        </w:rPr>
        <w:t>且原審起訴書也僅以民法第184條第1項概稱作為請求權基礎，並於前次準備庭中也未清楚表明民法第18</w:t>
      </w:r>
      <w:r>
        <w:rPr>
          <w:rFonts w:hint="eastAsia"/>
        </w:rPr>
        <w:t>4條第1</w:t>
      </w:r>
      <w:r w:rsidR="008E1C6A">
        <w:rPr>
          <w:rFonts w:hint="eastAsia"/>
        </w:rPr>
        <w:t>項前段、</w:t>
      </w:r>
      <w:r>
        <w:rPr>
          <w:rFonts w:hint="eastAsia"/>
        </w:rPr>
        <w:t>後段皆為本案請求權基礎，</w:t>
      </w:r>
      <w:r w:rsidR="00160714">
        <w:rPr>
          <w:rFonts w:hint="eastAsia"/>
        </w:rPr>
        <w:t>與被上訴人</w:t>
      </w:r>
      <w:r w:rsidR="0051282A">
        <w:rPr>
          <w:rFonts w:hint="eastAsia"/>
        </w:rPr>
        <w:t>真實</w:t>
      </w:r>
      <w:r w:rsidR="00160714">
        <w:rPr>
          <w:rFonts w:hint="eastAsia"/>
        </w:rPr>
        <w:t>主張不同，</w:t>
      </w:r>
      <w:r>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w:t>
      </w:r>
      <w:r w:rsidR="002B1FDF">
        <w:rPr>
          <w:rFonts w:hint="eastAsia"/>
        </w:rPr>
        <w:t>約定或給付以</w:t>
      </w:r>
      <w:r w:rsidR="0077115F">
        <w:rPr>
          <w:rFonts w:hint="eastAsia"/>
        </w:rPr>
        <w:t>15~45</w:t>
      </w:r>
      <w:r w:rsidR="002B1FDF">
        <w:rPr>
          <w:rFonts w:hint="eastAsia"/>
        </w:rPr>
        <w:t>天為期，每期2%~6%等與本金顯不相當之紅利方式向不特定36人吸收資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Pr>
          <w:rFonts w:hint="eastAsia"/>
        </w:rPr>
        <w:t>，因此也以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w:t>
      </w:r>
      <w:r w:rsidR="008F23E5">
        <w:rPr>
          <w:rFonts w:hint="eastAsia"/>
        </w:rPr>
        <w:lastRenderedPageBreak/>
        <w:t>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w:t>
      </w:r>
      <w:r w:rsidR="00A8290D">
        <w:rPr>
          <w:rFonts w:hint="eastAsia"/>
        </w:rPr>
        <w:t>而</w:t>
      </w:r>
      <w:r>
        <w:rPr>
          <w:rFonts w:hint="eastAsia"/>
        </w:rPr>
        <w:t>以為真有這樣</w:t>
      </w:r>
      <w:r w:rsidR="00A8290D">
        <w:rPr>
          <w:rFonts w:hint="eastAsia"/>
        </w:rPr>
        <w:t>好的</w:t>
      </w:r>
      <w:r>
        <w:rPr>
          <w:rFonts w:hint="eastAsia"/>
        </w:rPr>
        <w:t>投資機會，怎麼會一次的交易流程都沒去確認過？她經手超過1億現金卻完全不擔心？還是這就是她本意？她顯有</w:t>
      </w:r>
      <w:r w:rsidRPr="00861F90">
        <w:rPr>
          <w:rFonts w:hint="eastAsia"/>
          <w:u w:val="thick"/>
        </w:rPr>
        <w:t>未盡善良管理人之注意之責</w:t>
      </w:r>
      <w:r>
        <w:rPr>
          <w:rFonts w:hint="eastAsia"/>
        </w:rPr>
        <w:t>（</w:t>
      </w:r>
      <w:r w:rsidRPr="00827038">
        <w:rPr>
          <w:rFonts w:cs="Times New Roman" w:hint="eastAsia"/>
        </w:rPr>
        <w:t>最高法院42年台上字第865號、19年上字第2746號判例參照</w:t>
      </w:r>
      <w:r>
        <w:rPr>
          <w:rFonts w:hint="eastAsia"/>
        </w:rPr>
        <w:t>）。若上訴人王寶琴所言</w:t>
      </w:r>
      <w:r w:rsidRPr="00861F90">
        <w:rPr>
          <w:rFonts w:hint="eastAsia"/>
        </w:rPr>
        <w:t>她能夠</w:t>
      </w:r>
      <w:r w:rsidRPr="00861F90">
        <w:rPr>
          <w:rFonts w:hint="eastAsia"/>
          <w:u w:val="thick"/>
        </w:rPr>
        <w:t>實際參與交易情事為真</w:t>
      </w:r>
      <w:r>
        <w:rPr>
          <w:rFonts w:hint="eastAsia"/>
        </w:rPr>
        <w:t>，則有「應注意、能注意、而不注意」</w:t>
      </w:r>
      <w:r w:rsidR="003A0923">
        <w:rPr>
          <w:rFonts w:hint="eastAsia"/>
        </w:rPr>
        <w:t>、「雖預見期能發生而確信其不發生」</w:t>
      </w:r>
      <w:r>
        <w:rPr>
          <w:rFonts w:hint="eastAsia"/>
        </w:rPr>
        <w:t>的</w:t>
      </w:r>
      <w:r w:rsidRPr="00861F90">
        <w:rPr>
          <w:rFonts w:hint="eastAsia"/>
          <w:u w:val="thick"/>
        </w:rPr>
        <w:t>過失</w:t>
      </w:r>
      <w:r>
        <w:rPr>
          <w:rFonts w:hint="eastAsia"/>
        </w:rPr>
        <w:t>；若王寶琴所</w:t>
      </w:r>
      <w:r w:rsidR="0097353B">
        <w:rPr>
          <w:rFonts w:hint="eastAsia"/>
        </w:rPr>
        <w:t>言能夠</w:t>
      </w:r>
      <w:r w:rsidR="0097353B" w:rsidRPr="00861F90">
        <w:rPr>
          <w:rFonts w:hint="eastAsia"/>
          <w:u w:val="thick"/>
        </w:rPr>
        <w:t>實際參與交易情事為</w:t>
      </w:r>
      <w:r w:rsidRPr="00861F90">
        <w:rPr>
          <w:rFonts w:hint="eastAsia"/>
          <w:u w:val="thick"/>
        </w:rPr>
        <w:t>假</w:t>
      </w:r>
      <w:r>
        <w:rPr>
          <w:rFonts w:hint="eastAsia"/>
        </w:rPr>
        <w:t>，則更有以</w:t>
      </w:r>
      <w:r w:rsidRPr="00861F90">
        <w:rPr>
          <w:rFonts w:hint="eastAsia"/>
          <w:u w:val="thick"/>
        </w:rPr>
        <w:t>欺騙等</w:t>
      </w:r>
      <w:r w:rsidR="00D55FAC" w:rsidRPr="00861F90">
        <w:rPr>
          <w:rFonts w:hint="eastAsia"/>
          <w:u w:val="thick"/>
        </w:rPr>
        <w:t>故意</w:t>
      </w:r>
      <w:r>
        <w:rPr>
          <w:rFonts w:hint="eastAsia"/>
        </w:rPr>
        <w:t>違背善良風俗的方法來吸收資金並從中獲利的侵權行為。另外，視同上訴人謝淑美也於原審辯論庭說：「</w:t>
      </w:r>
      <w:r w:rsidRPr="00260F4A">
        <w:rPr>
          <w:rFonts w:hint="eastAsia"/>
          <w:u w:val="thick"/>
        </w:rPr>
        <w:t>王寶琴從頭到尾沒有參與過實際交卷動作</w:t>
      </w:r>
      <w:r>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w:t>
      </w:r>
      <w:r w:rsidR="003E4CA8">
        <w:rPr>
          <w:rFonts w:hint="eastAsia"/>
        </w:rPr>
        <w:t>使用</w:t>
      </w:r>
      <w:r w:rsidR="003F5D79">
        <w:rPr>
          <w:rFonts w:hint="eastAsia"/>
        </w:rPr>
        <w:t>詐騙</w:t>
      </w:r>
      <w:r w:rsidR="003E4CA8">
        <w:rPr>
          <w:rFonts w:hint="eastAsia"/>
        </w:rPr>
        <w:t>方式</w:t>
      </w:r>
      <w:r w:rsidR="003E4CA8" w:rsidRPr="00861F90">
        <w:rPr>
          <w:rFonts w:hint="eastAsia"/>
        </w:rPr>
        <w:t>，</w:t>
      </w:r>
      <w:r w:rsidR="003E4CA8" w:rsidRPr="00861F90">
        <w:rPr>
          <w:rFonts w:hint="eastAsia"/>
          <w:u w:val="thick"/>
        </w:rPr>
        <w:t>謊稱</w:t>
      </w:r>
      <w:r w:rsidR="00C667C0" w:rsidRPr="00861F90">
        <w:rPr>
          <w:rFonts w:hint="eastAsia"/>
          <w:u w:val="thick"/>
        </w:rPr>
        <w:t>每期都</w:t>
      </w:r>
      <w:r w:rsidR="006E1D64" w:rsidRPr="00861F90">
        <w:rPr>
          <w:rFonts w:hint="eastAsia"/>
          <w:u w:val="thick"/>
        </w:rPr>
        <w:t>能</w:t>
      </w:r>
      <w:r w:rsidR="00C667C0" w:rsidRPr="00861F90">
        <w:rPr>
          <w:rFonts w:hint="eastAsia"/>
          <w:u w:val="thick"/>
        </w:rPr>
        <w:t>取回本金</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lastRenderedPageBreak/>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D05EA">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CA55A3" w:rsidP="00C72B6A">
      <w:pPr>
        <w:pStyle w:val="0000"/>
        <w:numPr>
          <w:ilvl w:val="0"/>
          <w:numId w:val="2"/>
        </w:numPr>
        <w:tabs>
          <w:tab w:val="clear" w:pos="6804"/>
        </w:tabs>
        <w:jc w:val="both"/>
        <w:rPr>
          <w:b/>
        </w:rPr>
      </w:pPr>
      <w:r>
        <w:rPr>
          <w:rFonts w:hint="eastAsia"/>
          <w:b/>
        </w:rPr>
        <w:t>上訴人對於原審認定事實不加辯解，卻另提理由，</w:t>
      </w:r>
      <w:r w:rsidR="00927093" w:rsidRPr="00927093">
        <w:rPr>
          <w:rFonts w:hint="eastAsia"/>
          <w:b/>
        </w:rPr>
        <w:t>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)上訴人王寶琴以每20天左右為期約定給付3%~6%與本金顯不相當紅利予被上訴人、(四)上訴人王寶琴對其行為係以收受投資之名義，向多數人收受款項或吸收資金知之甚明等</w:t>
      </w:r>
      <w:r w:rsidRPr="00DC534E">
        <w:rPr>
          <w:rFonts w:hint="eastAsia"/>
        </w:rPr>
        <w:t>事</w:t>
      </w:r>
      <w:r w:rsidR="0092658E" w:rsidRPr="00DC534E">
        <w:rPr>
          <w:rFonts w:hint="eastAsia"/>
        </w:rPr>
        <w:t>實</w:t>
      </w:r>
      <w:r w:rsidRPr="00DC534E">
        <w:rPr>
          <w:rFonts w:hint="eastAsia"/>
        </w:rPr>
        <w:t>證</w:t>
      </w:r>
      <w:r w:rsidR="0092658E" w:rsidRPr="00DC534E">
        <w:rPr>
          <w:rFonts w:hint="eastAsia"/>
        </w:rPr>
        <w:t>據均</w:t>
      </w:r>
      <w:r w:rsidRPr="00DC534E">
        <w:rPr>
          <w:rFonts w:hint="eastAsia"/>
        </w:rPr>
        <w:t>不辯解</w:t>
      </w:r>
      <w:r w:rsidR="00B13B3D">
        <w:rPr>
          <w:rFonts w:hint="eastAsia"/>
        </w:rPr>
        <w:t>，依照民事訴訟法第280條規定，</w:t>
      </w:r>
      <w:r w:rsidR="005C670F">
        <w:rPr>
          <w:rFonts w:hint="eastAsia"/>
          <w:u w:val="thick"/>
        </w:rPr>
        <w:t>形同自認</w:t>
      </w:r>
      <w:r>
        <w:rPr>
          <w:rFonts w:hint="eastAsia"/>
        </w:rPr>
        <w:t>。</w:t>
      </w:r>
    </w:p>
    <w:p w:rsidR="003C617B" w:rsidRDefault="00643C26" w:rsidP="00927093">
      <w:pPr>
        <w:pStyle w:val="0000"/>
        <w:numPr>
          <w:ilvl w:val="0"/>
          <w:numId w:val="16"/>
        </w:numPr>
        <w:tabs>
          <w:tab w:val="clear" w:pos="6804"/>
        </w:tabs>
        <w:jc w:val="both"/>
      </w:pPr>
      <w:r>
        <w:rPr>
          <w:rFonts w:hint="eastAsia"/>
        </w:rPr>
        <w:t>「</w:t>
      </w:r>
      <w:r w:rsidRPr="003F01A3">
        <w:rPr>
          <w:rFonts w:hint="eastAsia"/>
          <w:u w:val="thick"/>
        </w:rPr>
        <w:t>在第一審所為之訴訟行為於第二審亦有效力</w:t>
      </w:r>
      <w:r>
        <w:rPr>
          <w:rFonts w:hint="eastAsia"/>
        </w:rPr>
        <w:t>」民事訴訟法第448條定有明文</w:t>
      </w:r>
      <w:r w:rsidR="00F2661D">
        <w:rPr>
          <w:rFonts w:hint="eastAsia"/>
        </w:rPr>
        <w:t>，因此本案原審所認定事證，仍應屬有效。</w:t>
      </w:r>
      <w:r>
        <w:rPr>
          <w:rFonts w:hint="eastAsia"/>
        </w:rPr>
        <w:t>上訴人王寶琴</w:t>
      </w:r>
      <w:r w:rsidR="00BB311A">
        <w:rPr>
          <w:rFonts w:hint="eastAsia"/>
        </w:rPr>
        <w:t>另</w:t>
      </w:r>
      <w:r>
        <w:rPr>
          <w:rFonts w:hint="eastAsia"/>
        </w:rPr>
        <w:t>欲以</w:t>
      </w:r>
      <w:r w:rsidR="005C1520">
        <w:rPr>
          <w:rFonts w:hint="eastAsia"/>
        </w:rPr>
        <w:t>「傳訊本人配偶」</w:t>
      </w:r>
      <w:r w:rsidR="00A4610A">
        <w:rPr>
          <w:rFonts w:hint="eastAsia"/>
        </w:rPr>
        <w:t>、</w:t>
      </w:r>
      <w:r w:rsidR="003D05EA">
        <w:rPr>
          <w:rFonts w:hint="eastAsia"/>
        </w:rPr>
        <w:t>「</w:t>
      </w:r>
      <w:r w:rsidR="00A4610A">
        <w:rPr>
          <w:rFonts w:hint="eastAsia"/>
        </w:rPr>
        <w:t>傳訊十一位證人」</w:t>
      </w:r>
      <w:r>
        <w:rPr>
          <w:rFonts w:hint="eastAsia"/>
        </w:rPr>
        <w:t>、「原審判決速斷」、「要求停止訴訟」、「為存款交付之人」、「並非資金需求者」…云云等新的聲請或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w:t>
      </w:r>
      <w:r w:rsidR="00A519DA">
        <w:rPr>
          <w:rFonts w:hint="eastAsia"/>
        </w:rPr>
        <w:lastRenderedPageBreak/>
        <w:t>由，卻不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sidRPr="00861F90">
        <w:rPr>
          <w:rFonts w:hint="eastAsia"/>
          <w:u w:val="thick"/>
        </w:rPr>
        <w:t>故意拖延訴訟</w:t>
      </w:r>
      <w:r>
        <w:rPr>
          <w:rFonts w:hint="eastAsia"/>
        </w:rPr>
        <w:t>意圖，究其所</w:t>
      </w:r>
      <w:r w:rsidR="008D4A1B">
        <w:rPr>
          <w:rFonts w:hint="eastAsia"/>
        </w:rPr>
        <w:t>聲請</w:t>
      </w:r>
      <w:r>
        <w:rPr>
          <w:rFonts w:hint="eastAsia"/>
        </w:rPr>
        <w:t>傳訊證人或新的辯解理由</w:t>
      </w:r>
      <w:r w:rsidR="00605446">
        <w:rPr>
          <w:rFonts w:hint="eastAsia"/>
        </w:rPr>
        <w:t>卻</w:t>
      </w:r>
      <w:r w:rsidR="005C670F">
        <w:rPr>
          <w:rFonts w:hint="eastAsia"/>
        </w:rPr>
        <w:t>並</w:t>
      </w:r>
      <w:r w:rsidR="005C670F" w:rsidRPr="005C670F">
        <w:rPr>
          <w:rFonts w:hint="eastAsia"/>
          <w:u w:val="thick"/>
        </w:rPr>
        <w:t>無舉證</w:t>
      </w:r>
      <w:r w:rsidR="00EF7032" w:rsidRPr="00EF7032">
        <w:rPr>
          <w:rFonts w:hint="eastAsia"/>
        </w:rPr>
        <w:t>或</w:t>
      </w:r>
      <w:r w:rsidR="00C163A7">
        <w:rPr>
          <w:rFonts w:hint="eastAsia"/>
        </w:rPr>
        <w:t>說明</w:t>
      </w:r>
      <w:r w:rsidR="00605446" w:rsidRPr="00605446">
        <w:rPr>
          <w:rFonts w:hint="eastAsia"/>
        </w:rPr>
        <w:t>與本案</w:t>
      </w:r>
      <w:r w:rsidR="009C0990">
        <w:rPr>
          <w:rFonts w:hint="eastAsia"/>
        </w:rPr>
        <w:t>具體</w:t>
      </w:r>
      <w:r w:rsidR="00605446" w:rsidRPr="00605446">
        <w:rPr>
          <w:rFonts w:hint="eastAsia"/>
        </w:rPr>
        <w:t>關聯</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綜上，上訴人王寶琴</w:t>
      </w:r>
      <w:r w:rsidR="00E63D6B">
        <w:rPr>
          <w:rFonts w:hint="eastAsia"/>
        </w:rPr>
        <w:t>既然自認</w:t>
      </w:r>
      <w:r>
        <w:rPr>
          <w:rFonts w:hint="eastAsia"/>
        </w:rPr>
        <w:t>原審見解或事</w:t>
      </w:r>
      <w:r w:rsidR="002007DE">
        <w:rPr>
          <w:rFonts w:hint="eastAsia"/>
        </w:rPr>
        <w:t>證</w:t>
      </w:r>
      <w:r>
        <w:rPr>
          <w:rFonts w:hint="eastAsia"/>
        </w:rPr>
        <w:t>，</w:t>
      </w:r>
      <w:r w:rsidR="0049330D">
        <w:rPr>
          <w:rFonts w:hint="eastAsia"/>
        </w:rPr>
        <w:t>則相關</w:t>
      </w:r>
      <w:r w:rsidR="0049330D" w:rsidRPr="00B00E00">
        <w:rPr>
          <w:rFonts w:hint="eastAsia"/>
          <w:u w:val="thick"/>
        </w:rPr>
        <w:t>侵權行為</w:t>
      </w:r>
      <w:r w:rsidR="00B00E00" w:rsidRPr="00B00E00">
        <w:rPr>
          <w:rFonts w:hint="eastAsia"/>
          <w:u w:val="thick"/>
        </w:rPr>
        <w:t>應</w:t>
      </w:r>
      <w:r w:rsidR="0049330D" w:rsidRPr="00B00E00">
        <w:rPr>
          <w:rFonts w:hint="eastAsia"/>
          <w:u w:val="thick"/>
        </w:rPr>
        <w:t>足以成立</w:t>
      </w:r>
      <w:r w:rsidR="0049330D">
        <w:rPr>
          <w:rFonts w:hint="eastAsia"/>
        </w:rPr>
        <w:t>，上訴理由</w:t>
      </w:r>
      <w:r>
        <w:rPr>
          <w:rFonts w:hint="eastAsia"/>
        </w:rPr>
        <w:t>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w:t>
      </w:r>
      <w:r w:rsidR="00624B26">
        <w:rPr>
          <w:rFonts w:hint="eastAsia"/>
        </w:rPr>
        <w:t>或說明與本案</w:t>
      </w:r>
      <w:r w:rsidR="00A72D1D">
        <w:rPr>
          <w:rFonts w:hint="eastAsia"/>
        </w:rPr>
        <w:t>關聯</w:t>
      </w:r>
      <w:r>
        <w:rPr>
          <w:rFonts w:hint="eastAsia"/>
        </w:rPr>
        <w:t>，實</w:t>
      </w:r>
      <w:r w:rsidR="00643C26">
        <w:rPr>
          <w:rFonts w:hint="eastAsia"/>
        </w:rPr>
        <w:t>有</w:t>
      </w:r>
      <w:r w:rsidR="00643C26" w:rsidRPr="00861F90">
        <w:rPr>
          <w:rFonts w:hint="eastAsia"/>
          <w:u w:val="thick"/>
        </w:rPr>
        <w:t>濫用上訴權</w:t>
      </w:r>
      <w:r w:rsidR="00643C26">
        <w:rPr>
          <w:rFonts w:hint="eastAsia"/>
        </w:rPr>
        <w:t>之疑慮。</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w:t>
      </w:r>
      <w:r w:rsidR="0064279D">
        <w:rPr>
          <w:rFonts w:hint="eastAsia"/>
          <w:b/>
        </w:rPr>
        <w:t>王寶琴所提</w:t>
      </w:r>
      <w:r w:rsidRPr="00E664D5">
        <w:rPr>
          <w:rFonts w:hint="eastAsia"/>
          <w:b/>
        </w:rPr>
        <w:t>新攻擊或防禦方法，則</w:t>
      </w:r>
      <w:r w:rsidR="00F36547">
        <w:rPr>
          <w:rFonts w:hint="eastAsia"/>
          <w:b/>
        </w:rPr>
        <w:t>要求上訴</w:t>
      </w:r>
      <w:r w:rsidR="000E67BC">
        <w:rPr>
          <w:rFonts w:hint="eastAsia"/>
          <w:b/>
        </w:rPr>
        <w:t>人等</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582A54">
        <w:rPr>
          <w:rFonts w:hint="eastAsia"/>
        </w:rPr>
        <w:t>條定有明文。上訴人王寶琴</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Pr>
          <w:rFonts w:hint="eastAsia"/>
        </w:rPr>
        <w:t>，又以新的說詞辯稱其為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符，且上訴人也不指出原審</w:t>
      </w:r>
      <w:r w:rsidR="000739F7">
        <w:rPr>
          <w:rFonts w:hint="eastAsia"/>
        </w:rPr>
        <w:t>認定</w:t>
      </w:r>
      <w:r w:rsidR="00B12C5B">
        <w:rPr>
          <w:rFonts w:hint="eastAsia"/>
        </w:rPr>
        <w:t>事實有何錯誤，應有故意拖延訴訟意圖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C10EF3">
        <w:rPr>
          <w:rFonts w:hint="eastAsia"/>
        </w:rPr>
        <w:t>解說辭</w:t>
      </w:r>
      <w:r w:rsidR="00C96676">
        <w:rPr>
          <w:rFonts w:hint="eastAsia"/>
        </w:rPr>
        <w:t>，</w:t>
      </w:r>
      <w:r w:rsidR="001706C7">
        <w:rPr>
          <w:rFonts w:hint="eastAsia"/>
        </w:rPr>
        <w:t>另</w:t>
      </w:r>
      <w:r w:rsidR="00B12C5B">
        <w:rPr>
          <w:rFonts w:hint="eastAsia"/>
        </w:rPr>
        <w:t>依民事訴訟法第277條「當事人主張有利於己之事實者，就其事實有舉證責任」，應</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003D79" w:rsidRDefault="007D4D74" w:rsidP="00BB5B0E">
      <w:pPr>
        <w:pStyle w:val="0000"/>
        <w:numPr>
          <w:ilvl w:val="0"/>
          <w:numId w:val="19"/>
        </w:numPr>
        <w:tabs>
          <w:tab w:val="clear" w:pos="6804"/>
        </w:tabs>
        <w:jc w:val="both"/>
      </w:pPr>
      <w:r>
        <w:rPr>
          <w:rFonts w:hint="eastAsia"/>
        </w:rPr>
        <w:lastRenderedPageBreak/>
        <w:t>王寶琴是否有</w:t>
      </w:r>
      <w:r w:rsidR="00562AAC">
        <w:rPr>
          <w:rFonts w:hint="eastAsia"/>
        </w:rPr>
        <w:t>如實依照謝淑美要求的投資日期投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E66636" w:rsidRDefault="00460D84" w:rsidP="00422113">
      <w:pPr>
        <w:pStyle w:val="0000"/>
        <w:numPr>
          <w:ilvl w:val="0"/>
          <w:numId w:val="2"/>
        </w:numPr>
        <w:tabs>
          <w:tab w:val="clear" w:pos="6804"/>
        </w:tabs>
        <w:jc w:val="both"/>
      </w:pPr>
      <w:r>
        <w:rPr>
          <w:rFonts w:hint="eastAsia"/>
        </w:rPr>
        <w:t>本案</w:t>
      </w:r>
      <w:r w:rsidR="00DE663B">
        <w:rPr>
          <w:rFonts w:hint="eastAsia"/>
        </w:rPr>
        <w:t>依照原審判決，</w:t>
      </w:r>
      <w:r w:rsidR="00C83205">
        <w:rPr>
          <w:rFonts w:hint="eastAsia"/>
        </w:rPr>
        <w:t>是</w:t>
      </w:r>
      <w:r w:rsidR="00DE663B">
        <w:rPr>
          <w:rFonts w:hint="eastAsia"/>
        </w:rPr>
        <w:t>以上訴人王寶琴及視同上訴人謝淑美</w:t>
      </w:r>
      <w:r w:rsidR="00AB1022">
        <w:rPr>
          <w:rFonts w:hint="eastAsia"/>
        </w:rPr>
        <w:t>共同</w:t>
      </w:r>
      <w:r w:rsidR="00DE663B">
        <w:rPr>
          <w:rFonts w:hint="eastAsia"/>
        </w:rPr>
        <w:t>觸犯民法第184條第2項及民法第185條事證明確，但若 鈞院不</w:t>
      </w:r>
      <w:r w:rsidR="008322E9">
        <w:rPr>
          <w:rFonts w:hint="eastAsia"/>
        </w:rPr>
        <w:t>採信</w:t>
      </w:r>
      <w:r w:rsidR="00DE663B">
        <w:rPr>
          <w:rFonts w:hint="eastAsia"/>
        </w:rPr>
        <w:t>原審見解</w:t>
      </w:r>
      <w:r w:rsidR="00546B86">
        <w:rPr>
          <w:rFonts w:hint="eastAsia"/>
        </w:rPr>
        <w:t>及判決</w:t>
      </w:r>
      <w:r w:rsidR="00DE663B">
        <w:rPr>
          <w:rFonts w:hint="eastAsia"/>
        </w:rPr>
        <w:t>，則上訴人等</w:t>
      </w:r>
      <w:r w:rsidR="009300A8">
        <w:rPr>
          <w:rFonts w:hint="eastAsia"/>
        </w:rPr>
        <w:t>另</w:t>
      </w:r>
      <w:r w:rsidR="00DE663B">
        <w:rPr>
          <w:rFonts w:hint="eastAsia"/>
        </w:rPr>
        <w:t>也觸犯民法第184條第1項前段、後段</w:t>
      </w:r>
      <w:r w:rsidR="00C83205">
        <w:rPr>
          <w:rFonts w:hint="eastAsia"/>
        </w:rPr>
        <w:t>及民法第185條等法律</w:t>
      </w:r>
      <w:r w:rsidR="00DE663B">
        <w:rPr>
          <w:rFonts w:hint="eastAsia"/>
        </w:rPr>
        <w:t>事證明確，</w:t>
      </w:r>
      <w:r w:rsidR="009F0224">
        <w:rPr>
          <w:rFonts w:hint="eastAsia"/>
        </w:rPr>
        <w:t>「第二審法院認上訴為無理由者，應為駁回之判決。原判決依其理由雖屬不當，而依其他理由為正當者，應以上訴為無理由」民事訴訟法第449條定有明文。</w:t>
      </w:r>
      <w:r>
        <w:rPr>
          <w:rFonts w:hint="eastAsia"/>
        </w:rPr>
        <w:t>敬請 鈞院</w:t>
      </w:r>
      <w:r w:rsidR="0082165D">
        <w:rPr>
          <w:rFonts w:hint="eastAsia"/>
        </w:rPr>
        <w:t>仍</w:t>
      </w:r>
      <w:r w:rsidR="00DE663B">
        <w:rPr>
          <w:rFonts w:hint="eastAsia"/>
        </w:rPr>
        <w:t>應以上訴無理由駁回之。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C83C9D" w:rsidRDefault="00C83C9D" w:rsidP="00C83C9D">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7605D">
        <w:rPr>
          <w:rFonts w:hint="eastAsia"/>
        </w:rPr>
        <w:t>與</w:t>
      </w:r>
      <w:r>
        <w:rPr>
          <w:rFonts w:hint="eastAsia"/>
        </w:rPr>
        <w:t>本案相關之媒體報導摘錄</w:t>
      </w:r>
      <w:r w:rsidR="00A14562">
        <w:rPr>
          <w:rFonts w:hint="eastAsia"/>
        </w:rPr>
        <w:t>共4頁</w:t>
      </w:r>
      <w:r>
        <w:rPr>
          <w:rFonts w:hint="eastAsia"/>
        </w:rPr>
        <w:t>。</w:t>
      </w:r>
    </w:p>
    <w:p w:rsidR="007B3B36" w:rsidRPr="00DC2905" w:rsidRDefault="007B3B36" w:rsidP="007B3B36">
      <w:pPr>
        <w:pStyle w:val="0000"/>
        <w:tabs>
          <w:tab w:val="clear" w:pos="6804"/>
        </w:tabs>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09C" w:rsidRDefault="0085609C" w:rsidP="00A13A54">
      <w:r>
        <w:separator/>
      </w:r>
    </w:p>
  </w:endnote>
  <w:endnote w:type="continuationSeparator" w:id="1">
    <w:p w:rsidR="0085609C" w:rsidRDefault="0085609C"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CF37F1">
        <w:pPr>
          <w:pStyle w:val="a5"/>
          <w:jc w:val="center"/>
        </w:pPr>
        <w:fldSimple w:instr="PAGE   \* MERGEFORMAT">
          <w:r w:rsidR="00A14562" w:rsidRPr="00A14562">
            <w:rPr>
              <w:noProof/>
              <w:lang w:val="zh-TW"/>
            </w:rPr>
            <w:t>8</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09C" w:rsidRDefault="0085609C" w:rsidP="00A13A54">
      <w:r>
        <w:separator/>
      </w:r>
    </w:p>
  </w:footnote>
  <w:footnote w:type="continuationSeparator" w:id="1">
    <w:p w:rsidR="0085609C" w:rsidRDefault="0085609C"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23005"/>
    <w:rsid w:val="00025165"/>
    <w:rsid w:val="00027965"/>
    <w:rsid w:val="000312BC"/>
    <w:rsid w:val="00033F5C"/>
    <w:rsid w:val="00035FDA"/>
    <w:rsid w:val="00036951"/>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A0545"/>
    <w:rsid w:val="000A1D15"/>
    <w:rsid w:val="000A2E79"/>
    <w:rsid w:val="000A3D75"/>
    <w:rsid w:val="000A416C"/>
    <w:rsid w:val="000A436A"/>
    <w:rsid w:val="000A492E"/>
    <w:rsid w:val="000B18B9"/>
    <w:rsid w:val="000B69C4"/>
    <w:rsid w:val="000B75C2"/>
    <w:rsid w:val="000C0258"/>
    <w:rsid w:val="000C0A7E"/>
    <w:rsid w:val="000C0A98"/>
    <w:rsid w:val="000C20CC"/>
    <w:rsid w:val="000C434C"/>
    <w:rsid w:val="000C6A3D"/>
    <w:rsid w:val="000C7787"/>
    <w:rsid w:val="000D17FC"/>
    <w:rsid w:val="000D3251"/>
    <w:rsid w:val="000D3AB8"/>
    <w:rsid w:val="000D54A0"/>
    <w:rsid w:val="000D5B9A"/>
    <w:rsid w:val="000D5F18"/>
    <w:rsid w:val="000D6207"/>
    <w:rsid w:val="000D67C2"/>
    <w:rsid w:val="000E5936"/>
    <w:rsid w:val="000E67BC"/>
    <w:rsid w:val="000E69F8"/>
    <w:rsid w:val="000F0111"/>
    <w:rsid w:val="000F0A4B"/>
    <w:rsid w:val="000F31FB"/>
    <w:rsid w:val="000F555E"/>
    <w:rsid w:val="00101044"/>
    <w:rsid w:val="001120DA"/>
    <w:rsid w:val="00120375"/>
    <w:rsid w:val="001208CE"/>
    <w:rsid w:val="00120EA4"/>
    <w:rsid w:val="00123B9E"/>
    <w:rsid w:val="00124D65"/>
    <w:rsid w:val="001252E1"/>
    <w:rsid w:val="00133628"/>
    <w:rsid w:val="00133F3B"/>
    <w:rsid w:val="00135207"/>
    <w:rsid w:val="00136BAE"/>
    <w:rsid w:val="00137DA6"/>
    <w:rsid w:val="0014016D"/>
    <w:rsid w:val="00140729"/>
    <w:rsid w:val="001420C9"/>
    <w:rsid w:val="00143C13"/>
    <w:rsid w:val="001449D8"/>
    <w:rsid w:val="00160714"/>
    <w:rsid w:val="00160FD5"/>
    <w:rsid w:val="00163C83"/>
    <w:rsid w:val="001706C7"/>
    <w:rsid w:val="0017358B"/>
    <w:rsid w:val="00176368"/>
    <w:rsid w:val="00180F24"/>
    <w:rsid w:val="00181292"/>
    <w:rsid w:val="00181709"/>
    <w:rsid w:val="00182190"/>
    <w:rsid w:val="00191411"/>
    <w:rsid w:val="001935C8"/>
    <w:rsid w:val="00194BFC"/>
    <w:rsid w:val="00194C69"/>
    <w:rsid w:val="00195551"/>
    <w:rsid w:val="00197790"/>
    <w:rsid w:val="001A32F3"/>
    <w:rsid w:val="001A4E8C"/>
    <w:rsid w:val="001A54D4"/>
    <w:rsid w:val="001A6282"/>
    <w:rsid w:val="001A73B3"/>
    <w:rsid w:val="001B2729"/>
    <w:rsid w:val="001B5BD2"/>
    <w:rsid w:val="001C6363"/>
    <w:rsid w:val="001D3E6A"/>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5B86"/>
    <w:rsid w:val="00250E7B"/>
    <w:rsid w:val="00253268"/>
    <w:rsid w:val="00253DD7"/>
    <w:rsid w:val="00260F4A"/>
    <w:rsid w:val="0027233F"/>
    <w:rsid w:val="00272396"/>
    <w:rsid w:val="002731FA"/>
    <w:rsid w:val="002751D5"/>
    <w:rsid w:val="002811A9"/>
    <w:rsid w:val="00281B82"/>
    <w:rsid w:val="0028329B"/>
    <w:rsid w:val="00284F80"/>
    <w:rsid w:val="00287929"/>
    <w:rsid w:val="00292087"/>
    <w:rsid w:val="002944AD"/>
    <w:rsid w:val="00295B84"/>
    <w:rsid w:val="00296A46"/>
    <w:rsid w:val="00297784"/>
    <w:rsid w:val="00297867"/>
    <w:rsid w:val="002A0E08"/>
    <w:rsid w:val="002A1547"/>
    <w:rsid w:val="002A5035"/>
    <w:rsid w:val="002B1FDF"/>
    <w:rsid w:val="002B204F"/>
    <w:rsid w:val="002B2E93"/>
    <w:rsid w:val="002B4806"/>
    <w:rsid w:val="002C309E"/>
    <w:rsid w:val="002C3658"/>
    <w:rsid w:val="002C5133"/>
    <w:rsid w:val="002D1A0A"/>
    <w:rsid w:val="002D3C5A"/>
    <w:rsid w:val="002E57AF"/>
    <w:rsid w:val="002E57DB"/>
    <w:rsid w:val="002F1CB4"/>
    <w:rsid w:val="002F3DBC"/>
    <w:rsid w:val="003015AA"/>
    <w:rsid w:val="00301FC7"/>
    <w:rsid w:val="003046D1"/>
    <w:rsid w:val="0030639F"/>
    <w:rsid w:val="003100AF"/>
    <w:rsid w:val="00310994"/>
    <w:rsid w:val="00312162"/>
    <w:rsid w:val="00314F77"/>
    <w:rsid w:val="00315CA8"/>
    <w:rsid w:val="0032379C"/>
    <w:rsid w:val="00323D9B"/>
    <w:rsid w:val="00324A9F"/>
    <w:rsid w:val="00332BDA"/>
    <w:rsid w:val="00332FBE"/>
    <w:rsid w:val="00334091"/>
    <w:rsid w:val="0034294C"/>
    <w:rsid w:val="00346297"/>
    <w:rsid w:val="003471DD"/>
    <w:rsid w:val="003519BA"/>
    <w:rsid w:val="00352067"/>
    <w:rsid w:val="00354F3E"/>
    <w:rsid w:val="00356947"/>
    <w:rsid w:val="003745AB"/>
    <w:rsid w:val="0037605D"/>
    <w:rsid w:val="003761CF"/>
    <w:rsid w:val="00377B6D"/>
    <w:rsid w:val="00377F5F"/>
    <w:rsid w:val="0038096A"/>
    <w:rsid w:val="00380A63"/>
    <w:rsid w:val="0038327C"/>
    <w:rsid w:val="00391E0E"/>
    <w:rsid w:val="00394B35"/>
    <w:rsid w:val="003A0923"/>
    <w:rsid w:val="003A1732"/>
    <w:rsid w:val="003A190D"/>
    <w:rsid w:val="003A2246"/>
    <w:rsid w:val="003A2B3B"/>
    <w:rsid w:val="003A55DC"/>
    <w:rsid w:val="003A5DF6"/>
    <w:rsid w:val="003B2AA4"/>
    <w:rsid w:val="003B4160"/>
    <w:rsid w:val="003C2FC5"/>
    <w:rsid w:val="003C5DA9"/>
    <w:rsid w:val="003C617B"/>
    <w:rsid w:val="003D05EA"/>
    <w:rsid w:val="003D2117"/>
    <w:rsid w:val="003D230D"/>
    <w:rsid w:val="003D2D87"/>
    <w:rsid w:val="003D5884"/>
    <w:rsid w:val="003D6E48"/>
    <w:rsid w:val="003E2667"/>
    <w:rsid w:val="003E4CA8"/>
    <w:rsid w:val="003E54C9"/>
    <w:rsid w:val="003E6F9B"/>
    <w:rsid w:val="003F01A3"/>
    <w:rsid w:val="003F4B82"/>
    <w:rsid w:val="003F5D79"/>
    <w:rsid w:val="003F6120"/>
    <w:rsid w:val="0040057F"/>
    <w:rsid w:val="004051B3"/>
    <w:rsid w:val="00406777"/>
    <w:rsid w:val="00412B72"/>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5390"/>
    <w:rsid w:val="00491A60"/>
    <w:rsid w:val="0049330D"/>
    <w:rsid w:val="004966C2"/>
    <w:rsid w:val="0049750B"/>
    <w:rsid w:val="004A3BD9"/>
    <w:rsid w:val="004A6DCB"/>
    <w:rsid w:val="004A7E57"/>
    <w:rsid w:val="004B2A55"/>
    <w:rsid w:val="004C0B91"/>
    <w:rsid w:val="004C317C"/>
    <w:rsid w:val="004D2B5B"/>
    <w:rsid w:val="004D3A19"/>
    <w:rsid w:val="004D6CF7"/>
    <w:rsid w:val="004E093F"/>
    <w:rsid w:val="004E26C6"/>
    <w:rsid w:val="004E6594"/>
    <w:rsid w:val="004F3F1B"/>
    <w:rsid w:val="004F7220"/>
    <w:rsid w:val="005005D0"/>
    <w:rsid w:val="00501982"/>
    <w:rsid w:val="0051282A"/>
    <w:rsid w:val="00512F86"/>
    <w:rsid w:val="00513021"/>
    <w:rsid w:val="00515561"/>
    <w:rsid w:val="005205CA"/>
    <w:rsid w:val="005217C3"/>
    <w:rsid w:val="00522654"/>
    <w:rsid w:val="00523610"/>
    <w:rsid w:val="00525C4A"/>
    <w:rsid w:val="00526B3F"/>
    <w:rsid w:val="00526F33"/>
    <w:rsid w:val="005303FA"/>
    <w:rsid w:val="005312A0"/>
    <w:rsid w:val="00531681"/>
    <w:rsid w:val="00533E99"/>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9029A"/>
    <w:rsid w:val="00590407"/>
    <w:rsid w:val="00593593"/>
    <w:rsid w:val="00594C02"/>
    <w:rsid w:val="005A08F1"/>
    <w:rsid w:val="005A42D7"/>
    <w:rsid w:val="005A5A6B"/>
    <w:rsid w:val="005A62B4"/>
    <w:rsid w:val="005A74F3"/>
    <w:rsid w:val="005B1194"/>
    <w:rsid w:val="005B17A1"/>
    <w:rsid w:val="005B17E4"/>
    <w:rsid w:val="005B2839"/>
    <w:rsid w:val="005B4D82"/>
    <w:rsid w:val="005B532F"/>
    <w:rsid w:val="005B73B7"/>
    <w:rsid w:val="005C1520"/>
    <w:rsid w:val="005C2E27"/>
    <w:rsid w:val="005C31F1"/>
    <w:rsid w:val="005C4341"/>
    <w:rsid w:val="005C5604"/>
    <w:rsid w:val="005C64F7"/>
    <w:rsid w:val="005C670F"/>
    <w:rsid w:val="005D0832"/>
    <w:rsid w:val="005D41EE"/>
    <w:rsid w:val="005D463C"/>
    <w:rsid w:val="005E37C6"/>
    <w:rsid w:val="005F4D5B"/>
    <w:rsid w:val="005F510F"/>
    <w:rsid w:val="005F6197"/>
    <w:rsid w:val="005F6DE9"/>
    <w:rsid w:val="00602BAE"/>
    <w:rsid w:val="00603714"/>
    <w:rsid w:val="0060391F"/>
    <w:rsid w:val="00605446"/>
    <w:rsid w:val="00607012"/>
    <w:rsid w:val="00610CAA"/>
    <w:rsid w:val="006141F6"/>
    <w:rsid w:val="00624B26"/>
    <w:rsid w:val="00631965"/>
    <w:rsid w:val="006357F1"/>
    <w:rsid w:val="00635D72"/>
    <w:rsid w:val="00642390"/>
    <w:rsid w:val="0064279D"/>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68C1"/>
    <w:rsid w:val="006E6CC9"/>
    <w:rsid w:val="00700061"/>
    <w:rsid w:val="007005E6"/>
    <w:rsid w:val="00700FE6"/>
    <w:rsid w:val="00701A1A"/>
    <w:rsid w:val="0070271A"/>
    <w:rsid w:val="007027BE"/>
    <w:rsid w:val="00715AE0"/>
    <w:rsid w:val="00716701"/>
    <w:rsid w:val="00721E66"/>
    <w:rsid w:val="007277B1"/>
    <w:rsid w:val="00727FF2"/>
    <w:rsid w:val="00730268"/>
    <w:rsid w:val="00733219"/>
    <w:rsid w:val="00734A23"/>
    <w:rsid w:val="007350E6"/>
    <w:rsid w:val="0073518A"/>
    <w:rsid w:val="00736F92"/>
    <w:rsid w:val="00740210"/>
    <w:rsid w:val="00742003"/>
    <w:rsid w:val="00744599"/>
    <w:rsid w:val="00746E13"/>
    <w:rsid w:val="00750E27"/>
    <w:rsid w:val="0075335B"/>
    <w:rsid w:val="00753BCD"/>
    <w:rsid w:val="00763EC4"/>
    <w:rsid w:val="00766DCB"/>
    <w:rsid w:val="00766EFC"/>
    <w:rsid w:val="007703DB"/>
    <w:rsid w:val="0077115F"/>
    <w:rsid w:val="00772457"/>
    <w:rsid w:val="00776049"/>
    <w:rsid w:val="007776DA"/>
    <w:rsid w:val="00780241"/>
    <w:rsid w:val="00781D74"/>
    <w:rsid w:val="00782F3A"/>
    <w:rsid w:val="007848B0"/>
    <w:rsid w:val="007954C8"/>
    <w:rsid w:val="00795A0C"/>
    <w:rsid w:val="007966F8"/>
    <w:rsid w:val="00796EF6"/>
    <w:rsid w:val="007A396F"/>
    <w:rsid w:val="007A410F"/>
    <w:rsid w:val="007A670B"/>
    <w:rsid w:val="007A7899"/>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221E"/>
    <w:rsid w:val="007F3363"/>
    <w:rsid w:val="007F5A96"/>
    <w:rsid w:val="008003CE"/>
    <w:rsid w:val="008006A7"/>
    <w:rsid w:val="00802A8D"/>
    <w:rsid w:val="00806476"/>
    <w:rsid w:val="008107E1"/>
    <w:rsid w:val="00814B52"/>
    <w:rsid w:val="008157C8"/>
    <w:rsid w:val="00815CC9"/>
    <w:rsid w:val="008210CF"/>
    <w:rsid w:val="0082165D"/>
    <w:rsid w:val="008236BE"/>
    <w:rsid w:val="008242DF"/>
    <w:rsid w:val="00824D99"/>
    <w:rsid w:val="00827048"/>
    <w:rsid w:val="008308A6"/>
    <w:rsid w:val="00830D7D"/>
    <w:rsid w:val="0083223A"/>
    <w:rsid w:val="008322E9"/>
    <w:rsid w:val="00832A0B"/>
    <w:rsid w:val="00833316"/>
    <w:rsid w:val="00835F8C"/>
    <w:rsid w:val="00842465"/>
    <w:rsid w:val="00843037"/>
    <w:rsid w:val="0084527A"/>
    <w:rsid w:val="00845D32"/>
    <w:rsid w:val="008510C7"/>
    <w:rsid w:val="00851E88"/>
    <w:rsid w:val="0085609C"/>
    <w:rsid w:val="00856EA9"/>
    <w:rsid w:val="00861F90"/>
    <w:rsid w:val="0086576A"/>
    <w:rsid w:val="00866A03"/>
    <w:rsid w:val="0086755E"/>
    <w:rsid w:val="00873BBB"/>
    <w:rsid w:val="00876880"/>
    <w:rsid w:val="00876E9D"/>
    <w:rsid w:val="0087765E"/>
    <w:rsid w:val="00890089"/>
    <w:rsid w:val="008928C1"/>
    <w:rsid w:val="00897E0F"/>
    <w:rsid w:val="008A343E"/>
    <w:rsid w:val="008A41C7"/>
    <w:rsid w:val="008A4C5D"/>
    <w:rsid w:val="008A5B12"/>
    <w:rsid w:val="008A66CC"/>
    <w:rsid w:val="008B0F35"/>
    <w:rsid w:val="008B12C8"/>
    <w:rsid w:val="008B416A"/>
    <w:rsid w:val="008B61FC"/>
    <w:rsid w:val="008B66A7"/>
    <w:rsid w:val="008C5DF8"/>
    <w:rsid w:val="008D0D61"/>
    <w:rsid w:val="008D4A1B"/>
    <w:rsid w:val="008D4D5D"/>
    <w:rsid w:val="008D5CCB"/>
    <w:rsid w:val="008E1C6A"/>
    <w:rsid w:val="008E1F96"/>
    <w:rsid w:val="008E231C"/>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4366"/>
    <w:rsid w:val="00925198"/>
    <w:rsid w:val="0092658E"/>
    <w:rsid w:val="0092661E"/>
    <w:rsid w:val="00927093"/>
    <w:rsid w:val="0092785E"/>
    <w:rsid w:val="009300A8"/>
    <w:rsid w:val="009344D7"/>
    <w:rsid w:val="0093567C"/>
    <w:rsid w:val="00937824"/>
    <w:rsid w:val="00940A2F"/>
    <w:rsid w:val="00942383"/>
    <w:rsid w:val="00942D6E"/>
    <w:rsid w:val="00945050"/>
    <w:rsid w:val="0094697A"/>
    <w:rsid w:val="00960293"/>
    <w:rsid w:val="00961D7D"/>
    <w:rsid w:val="0096357D"/>
    <w:rsid w:val="00965ABD"/>
    <w:rsid w:val="009670D9"/>
    <w:rsid w:val="00967582"/>
    <w:rsid w:val="00967A5D"/>
    <w:rsid w:val="0097353B"/>
    <w:rsid w:val="00974983"/>
    <w:rsid w:val="009759CF"/>
    <w:rsid w:val="0098219B"/>
    <w:rsid w:val="009845E8"/>
    <w:rsid w:val="009873C3"/>
    <w:rsid w:val="009918E4"/>
    <w:rsid w:val="009957A6"/>
    <w:rsid w:val="00996BD2"/>
    <w:rsid w:val="00996DF7"/>
    <w:rsid w:val="00997C5C"/>
    <w:rsid w:val="00997D85"/>
    <w:rsid w:val="00997DBA"/>
    <w:rsid w:val="009A3BF6"/>
    <w:rsid w:val="009A4CEB"/>
    <w:rsid w:val="009A66DA"/>
    <w:rsid w:val="009B0D92"/>
    <w:rsid w:val="009B26CB"/>
    <w:rsid w:val="009B41A9"/>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224"/>
    <w:rsid w:val="009F17D5"/>
    <w:rsid w:val="009F56F0"/>
    <w:rsid w:val="00A00E2C"/>
    <w:rsid w:val="00A036D9"/>
    <w:rsid w:val="00A050A8"/>
    <w:rsid w:val="00A10652"/>
    <w:rsid w:val="00A119D3"/>
    <w:rsid w:val="00A11EC7"/>
    <w:rsid w:val="00A13A54"/>
    <w:rsid w:val="00A14562"/>
    <w:rsid w:val="00A16022"/>
    <w:rsid w:val="00A23A52"/>
    <w:rsid w:val="00A23BDE"/>
    <w:rsid w:val="00A241C0"/>
    <w:rsid w:val="00A24F2D"/>
    <w:rsid w:val="00A33072"/>
    <w:rsid w:val="00A3648D"/>
    <w:rsid w:val="00A37A14"/>
    <w:rsid w:val="00A4063E"/>
    <w:rsid w:val="00A43CE3"/>
    <w:rsid w:val="00A45B81"/>
    <w:rsid w:val="00A4610A"/>
    <w:rsid w:val="00A46D21"/>
    <w:rsid w:val="00A505E9"/>
    <w:rsid w:val="00A519DA"/>
    <w:rsid w:val="00A52A2B"/>
    <w:rsid w:val="00A607D5"/>
    <w:rsid w:val="00A60A75"/>
    <w:rsid w:val="00A61E37"/>
    <w:rsid w:val="00A6274D"/>
    <w:rsid w:val="00A72D1D"/>
    <w:rsid w:val="00A740B0"/>
    <w:rsid w:val="00A7472C"/>
    <w:rsid w:val="00A77D5E"/>
    <w:rsid w:val="00A80F68"/>
    <w:rsid w:val="00A8290D"/>
    <w:rsid w:val="00A829DF"/>
    <w:rsid w:val="00A86FAF"/>
    <w:rsid w:val="00A93727"/>
    <w:rsid w:val="00A93EAB"/>
    <w:rsid w:val="00AA227A"/>
    <w:rsid w:val="00AA3984"/>
    <w:rsid w:val="00AA7BB7"/>
    <w:rsid w:val="00AB1022"/>
    <w:rsid w:val="00AB2C49"/>
    <w:rsid w:val="00AB4169"/>
    <w:rsid w:val="00AB47E8"/>
    <w:rsid w:val="00AB5C35"/>
    <w:rsid w:val="00AD128E"/>
    <w:rsid w:val="00AD2828"/>
    <w:rsid w:val="00AD3968"/>
    <w:rsid w:val="00AD39B1"/>
    <w:rsid w:val="00AD3D93"/>
    <w:rsid w:val="00AD40E5"/>
    <w:rsid w:val="00AD41B5"/>
    <w:rsid w:val="00AE44C1"/>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512FF"/>
    <w:rsid w:val="00B527D2"/>
    <w:rsid w:val="00B52DD9"/>
    <w:rsid w:val="00B53A15"/>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78D1"/>
    <w:rsid w:val="00BD7F01"/>
    <w:rsid w:val="00BE2037"/>
    <w:rsid w:val="00BE7136"/>
    <w:rsid w:val="00BE7699"/>
    <w:rsid w:val="00BF300F"/>
    <w:rsid w:val="00BF303A"/>
    <w:rsid w:val="00BF5C29"/>
    <w:rsid w:val="00BF6216"/>
    <w:rsid w:val="00BF7351"/>
    <w:rsid w:val="00BF7993"/>
    <w:rsid w:val="00C013A7"/>
    <w:rsid w:val="00C018D1"/>
    <w:rsid w:val="00C10EF3"/>
    <w:rsid w:val="00C12942"/>
    <w:rsid w:val="00C12DF2"/>
    <w:rsid w:val="00C133EC"/>
    <w:rsid w:val="00C14908"/>
    <w:rsid w:val="00C163A7"/>
    <w:rsid w:val="00C227B7"/>
    <w:rsid w:val="00C24938"/>
    <w:rsid w:val="00C31556"/>
    <w:rsid w:val="00C33625"/>
    <w:rsid w:val="00C33836"/>
    <w:rsid w:val="00C354AC"/>
    <w:rsid w:val="00C36D6C"/>
    <w:rsid w:val="00C370A6"/>
    <w:rsid w:val="00C37877"/>
    <w:rsid w:val="00C37C31"/>
    <w:rsid w:val="00C45FE7"/>
    <w:rsid w:val="00C46F96"/>
    <w:rsid w:val="00C61B8F"/>
    <w:rsid w:val="00C640C4"/>
    <w:rsid w:val="00C667C0"/>
    <w:rsid w:val="00C7044B"/>
    <w:rsid w:val="00C72B6A"/>
    <w:rsid w:val="00C83205"/>
    <w:rsid w:val="00C83C9D"/>
    <w:rsid w:val="00C874BB"/>
    <w:rsid w:val="00C90408"/>
    <w:rsid w:val="00C90B89"/>
    <w:rsid w:val="00C91ACF"/>
    <w:rsid w:val="00C91B56"/>
    <w:rsid w:val="00C96676"/>
    <w:rsid w:val="00C97F98"/>
    <w:rsid w:val="00CA0DAF"/>
    <w:rsid w:val="00CA521A"/>
    <w:rsid w:val="00CA55A3"/>
    <w:rsid w:val="00CB06EE"/>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785"/>
    <w:rsid w:val="00CF37F1"/>
    <w:rsid w:val="00CF3FC4"/>
    <w:rsid w:val="00CF5ADA"/>
    <w:rsid w:val="00CF6AE0"/>
    <w:rsid w:val="00CF7389"/>
    <w:rsid w:val="00D043CE"/>
    <w:rsid w:val="00D04F6B"/>
    <w:rsid w:val="00D05E2E"/>
    <w:rsid w:val="00D106BB"/>
    <w:rsid w:val="00D1480B"/>
    <w:rsid w:val="00D150A1"/>
    <w:rsid w:val="00D17297"/>
    <w:rsid w:val="00D24AA4"/>
    <w:rsid w:val="00D31FF6"/>
    <w:rsid w:val="00D33EDA"/>
    <w:rsid w:val="00D34F18"/>
    <w:rsid w:val="00D35EB8"/>
    <w:rsid w:val="00D402F9"/>
    <w:rsid w:val="00D42633"/>
    <w:rsid w:val="00D45150"/>
    <w:rsid w:val="00D52250"/>
    <w:rsid w:val="00D5226D"/>
    <w:rsid w:val="00D53A4D"/>
    <w:rsid w:val="00D55ADF"/>
    <w:rsid w:val="00D55FAC"/>
    <w:rsid w:val="00D566C4"/>
    <w:rsid w:val="00D566DC"/>
    <w:rsid w:val="00D56C4B"/>
    <w:rsid w:val="00D61BED"/>
    <w:rsid w:val="00D62DDB"/>
    <w:rsid w:val="00D64DC1"/>
    <w:rsid w:val="00D64E00"/>
    <w:rsid w:val="00D67364"/>
    <w:rsid w:val="00D70689"/>
    <w:rsid w:val="00D73011"/>
    <w:rsid w:val="00D736F2"/>
    <w:rsid w:val="00D75B16"/>
    <w:rsid w:val="00D76739"/>
    <w:rsid w:val="00D776F7"/>
    <w:rsid w:val="00D77DF1"/>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7D09"/>
    <w:rsid w:val="00DD543B"/>
    <w:rsid w:val="00DD6079"/>
    <w:rsid w:val="00DD791F"/>
    <w:rsid w:val="00DE25DA"/>
    <w:rsid w:val="00DE663B"/>
    <w:rsid w:val="00DE7350"/>
    <w:rsid w:val="00DF0B4C"/>
    <w:rsid w:val="00DF13ED"/>
    <w:rsid w:val="00DF7946"/>
    <w:rsid w:val="00E0155E"/>
    <w:rsid w:val="00E04940"/>
    <w:rsid w:val="00E10E3D"/>
    <w:rsid w:val="00E14950"/>
    <w:rsid w:val="00E150C9"/>
    <w:rsid w:val="00E20484"/>
    <w:rsid w:val="00E20E22"/>
    <w:rsid w:val="00E22A97"/>
    <w:rsid w:val="00E2454F"/>
    <w:rsid w:val="00E26592"/>
    <w:rsid w:val="00E278C8"/>
    <w:rsid w:val="00E342AA"/>
    <w:rsid w:val="00E35009"/>
    <w:rsid w:val="00E4087F"/>
    <w:rsid w:val="00E46261"/>
    <w:rsid w:val="00E476AC"/>
    <w:rsid w:val="00E50BB6"/>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4556"/>
    <w:rsid w:val="00E95921"/>
    <w:rsid w:val="00E9666D"/>
    <w:rsid w:val="00E97583"/>
    <w:rsid w:val="00E97F2C"/>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A63"/>
    <w:rsid w:val="00EC7316"/>
    <w:rsid w:val="00ED224C"/>
    <w:rsid w:val="00EF7032"/>
    <w:rsid w:val="00F00C0E"/>
    <w:rsid w:val="00F011BA"/>
    <w:rsid w:val="00F02217"/>
    <w:rsid w:val="00F031E5"/>
    <w:rsid w:val="00F045E3"/>
    <w:rsid w:val="00F04633"/>
    <w:rsid w:val="00F05D85"/>
    <w:rsid w:val="00F10DD6"/>
    <w:rsid w:val="00F11490"/>
    <w:rsid w:val="00F13F4C"/>
    <w:rsid w:val="00F20468"/>
    <w:rsid w:val="00F2114C"/>
    <w:rsid w:val="00F238B7"/>
    <w:rsid w:val="00F24DFC"/>
    <w:rsid w:val="00F2661D"/>
    <w:rsid w:val="00F36547"/>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B9D"/>
    <w:rsid w:val="00F74E6B"/>
    <w:rsid w:val="00F80145"/>
    <w:rsid w:val="00F80798"/>
    <w:rsid w:val="00F83130"/>
    <w:rsid w:val="00F8617F"/>
    <w:rsid w:val="00F87747"/>
    <w:rsid w:val="00F9105B"/>
    <w:rsid w:val="00F9199D"/>
    <w:rsid w:val="00F92368"/>
    <w:rsid w:val="00F9360E"/>
    <w:rsid w:val="00F946C3"/>
    <w:rsid w:val="00F95821"/>
    <w:rsid w:val="00F95DF3"/>
    <w:rsid w:val="00FA10DD"/>
    <w:rsid w:val="00FA67BF"/>
    <w:rsid w:val="00FA6853"/>
    <w:rsid w:val="00FB37D3"/>
    <w:rsid w:val="00FB7FD1"/>
    <w:rsid w:val="00FC226B"/>
    <w:rsid w:val="00FC2AC4"/>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8</Pages>
  <Words>976</Words>
  <Characters>5568</Characters>
  <Application>Microsoft Office Word</Application>
  <DocSecurity>0</DocSecurity>
  <Lines>46</Lines>
  <Paragraphs>13</Paragraphs>
  <ScaleCrop>false</ScaleCrop>
  <Company>Innolux Corp.</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584</cp:revision>
  <cp:lastPrinted>2019-11-28T23:54:00Z</cp:lastPrinted>
  <dcterms:created xsi:type="dcterms:W3CDTF">2020-06-12T05:03:00Z</dcterms:created>
  <dcterms:modified xsi:type="dcterms:W3CDTF">2020-06-22T07:35:00Z</dcterms:modified>
</cp:coreProperties>
</file>