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w:t>
      </w:r>
      <w:r w:rsidR="00BD1610" w:rsidRPr="00D17297">
        <w:rPr>
          <w:rFonts w:hint="eastAsia"/>
          <w:b/>
        </w:rPr>
        <w:t>王寶琴</w:t>
      </w:r>
      <w:r w:rsidR="00AE7D36" w:rsidRPr="00D17297">
        <w:rPr>
          <w:rFonts w:hint="eastAsia"/>
          <w:b/>
        </w:rPr>
        <w:t>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於民事訴訟繫屬中涉有</w:t>
      </w:r>
      <w:r w:rsidR="00160FD5" w:rsidRPr="00967A5D">
        <w:rPr>
          <w:rFonts w:hint="eastAsia"/>
        </w:rPr>
        <w:t>偽造文書、證人偽證、鑑定人為不實之鑑定等情形</w:t>
      </w:r>
      <w:r w:rsidR="00C46F96">
        <w:rPr>
          <w:rFonts w:hint="eastAsia"/>
        </w:rPr>
        <w:t>，</w:t>
      </w:r>
      <w:r w:rsidR="00C46F96" w:rsidRPr="00C46F96">
        <w:rPr>
          <w:rFonts w:hint="eastAsia"/>
        </w:rPr>
        <w:t>始足當之</w:t>
      </w:r>
      <w:r w:rsidR="00160FD5" w:rsidRPr="00967A5D">
        <w:rPr>
          <w:rFonts w:hint="eastAsia"/>
        </w:rPr>
        <w:t>。是以當事人在民事訴訟繫屬「以前」有犯罪行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BC7AC8" w:rsidP="003E6F9B">
      <w:pPr>
        <w:pStyle w:val="0000"/>
        <w:numPr>
          <w:ilvl w:val="0"/>
          <w:numId w:val="3"/>
        </w:numPr>
        <w:tabs>
          <w:tab w:val="clear" w:pos="6804"/>
        </w:tabs>
        <w:ind w:left="993" w:hanging="709"/>
        <w:jc w:val="both"/>
      </w:pPr>
      <w:r>
        <w:rPr>
          <w:rFonts w:hint="eastAsia"/>
        </w:rPr>
        <w:t>上訴人王寶琴於案號：臺南地方法院108年度金重訴字第3號</w:t>
      </w:r>
      <w:r w:rsidR="00454826">
        <w:rPr>
          <w:rFonts w:hint="eastAsia"/>
        </w:rPr>
        <w:t>刑事</w:t>
      </w:r>
      <w:r w:rsidR="00B5436C">
        <w:rPr>
          <w:rFonts w:hint="eastAsia"/>
        </w:rPr>
        <w:t>準備</w:t>
      </w:r>
      <w:r w:rsidR="00454826">
        <w:rPr>
          <w:rFonts w:hint="eastAsia"/>
        </w:rPr>
        <w:t>庭</w:t>
      </w:r>
      <w:r>
        <w:rPr>
          <w:rFonts w:hint="eastAsia"/>
        </w:rPr>
        <w:t>所提之準備狀中對於證據能力主張為：(1)起訴書所載被告王寶琴以外之人調查站筆錄及警詢筆錄均係被告以外之人審判外陳述，無證據能</w:t>
      </w:r>
      <w:r>
        <w:rPr>
          <w:rFonts w:hint="eastAsia"/>
        </w:rPr>
        <w:lastRenderedPageBreak/>
        <w:t>力。(2)起訴書所載其餘證據，不爭執證據能力。（</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Pr>
          <w:rFonts w:hint="eastAsia"/>
        </w:rPr>
        <w:t>）</w:t>
      </w:r>
    </w:p>
    <w:p w:rsidR="00BD144D" w:rsidRDefault="00BD144D" w:rsidP="003E6F9B">
      <w:pPr>
        <w:pStyle w:val="0000"/>
        <w:numPr>
          <w:ilvl w:val="0"/>
          <w:numId w:val="3"/>
        </w:numPr>
        <w:tabs>
          <w:tab w:val="clear" w:pos="6804"/>
        </w:tabs>
        <w:ind w:left="993" w:hanging="709"/>
        <w:jc w:val="both"/>
      </w:pPr>
      <w:r>
        <w:rPr>
          <w:rFonts w:hint="eastAsia"/>
        </w:rPr>
        <w:t>視同上訴人謝淑美於案號：臺南地方法院108年度金重訴字第3號</w:t>
      </w:r>
      <w:r w:rsidR="00454826">
        <w:rPr>
          <w:rFonts w:hint="eastAsia"/>
        </w:rPr>
        <w:t>刑事</w:t>
      </w:r>
      <w:r w:rsidR="00B5436C">
        <w:rPr>
          <w:rFonts w:hint="eastAsia"/>
        </w:rPr>
        <w:t>準備</w:t>
      </w:r>
      <w:r w:rsidR="00454826">
        <w:rPr>
          <w:rFonts w:hint="eastAsia"/>
        </w:rPr>
        <w:t>庭</w:t>
      </w:r>
      <w:r>
        <w:rPr>
          <w:rFonts w:hint="eastAsia"/>
        </w:rPr>
        <w:t>所提之準備狀中對於起訴書及所附之清單證據能力主張為：均不爭執證據能力，同意列為證據。（臺南刑事_108金重訴3卷1之第194頁</w:t>
      </w:r>
      <w:r w:rsidR="000D5B9A">
        <w:rPr>
          <w:rFonts w:hint="eastAsia"/>
        </w:rPr>
        <w:t>，摘</w:t>
      </w:r>
      <w:r w:rsidR="00B5436C">
        <w:rPr>
          <w:rFonts w:hint="eastAsia"/>
        </w:rPr>
        <w:t>錄</w:t>
      </w:r>
      <w:r w:rsidR="000D5B9A">
        <w:rPr>
          <w:rFonts w:hint="eastAsia"/>
        </w:rPr>
        <w:t>為本狀證物一</w:t>
      </w:r>
      <w:r>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綜上，本</w:t>
      </w:r>
      <w:r w:rsidR="00E95921">
        <w:rPr>
          <w:rFonts w:hint="eastAsia"/>
        </w:rPr>
        <w:t>件</w:t>
      </w:r>
      <w:r>
        <w:rPr>
          <w:rFonts w:hint="eastAsia"/>
        </w:rPr>
        <w:t>民事訴訟</w:t>
      </w:r>
      <w:r w:rsidR="00E95921" w:rsidRPr="00F52056">
        <w:rPr>
          <w:rFonts w:hint="eastAsia"/>
        </w:rPr>
        <w:t>並</w:t>
      </w:r>
      <w:r w:rsidR="00F54328" w:rsidRPr="00F52056">
        <w:rPr>
          <w:rFonts w:hint="eastAsia"/>
        </w:rPr>
        <w:t>無</w:t>
      </w:r>
      <w:r w:rsidR="00E95921" w:rsidRPr="00F52056">
        <w:rPr>
          <w:rFonts w:hint="eastAsia"/>
        </w:rPr>
        <w:t>證據</w:t>
      </w:r>
      <w:r w:rsidR="00F54328" w:rsidRPr="00F52056">
        <w:rPr>
          <w:rFonts w:hint="eastAsia"/>
        </w:rPr>
        <w:t>能力認定</w:t>
      </w:r>
      <w:r w:rsidR="00E95921" w:rsidRPr="00F52056">
        <w:rPr>
          <w:rFonts w:hint="eastAsia"/>
        </w:rPr>
        <w:t>問題</w:t>
      </w:r>
      <w:r w:rsidR="00746E13">
        <w:rPr>
          <w:rFonts w:hint="eastAsia"/>
        </w:rPr>
        <w:t>。</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7966F8">
        <w:rPr>
          <w:rFonts w:hint="eastAsia"/>
        </w:rPr>
        <w:t>，</w:t>
      </w:r>
      <w:r w:rsidR="00842465">
        <w:rPr>
          <w:rFonts w:hint="eastAsia"/>
        </w:rPr>
        <w:t>且所有</w:t>
      </w:r>
      <w:r w:rsidR="00842465" w:rsidRPr="00F52056">
        <w:rPr>
          <w:rFonts w:hint="eastAsia"/>
        </w:rPr>
        <w:t>犯罪行為皆於</w:t>
      </w:r>
      <w:r w:rsidR="00A80F68" w:rsidRPr="00F52056">
        <w:rPr>
          <w:rFonts w:hint="eastAsia"/>
        </w:rPr>
        <w:t>發生於</w:t>
      </w:r>
      <w:r w:rsidR="000B75C2" w:rsidRPr="00F52056">
        <w:rPr>
          <w:rFonts w:hint="eastAsia"/>
        </w:rPr>
        <w:t>本民事訴訟「以</w:t>
      </w:r>
      <w:r w:rsidR="00842465" w:rsidRPr="00F52056">
        <w:rPr>
          <w:rFonts w:hint="eastAsia"/>
        </w:rPr>
        <w:t>前」</w:t>
      </w:r>
      <w:r w:rsidR="00842465">
        <w:rPr>
          <w:rFonts w:hint="eastAsia"/>
        </w:rPr>
        <w:t>，</w:t>
      </w:r>
      <w:r w:rsidR="00700061">
        <w:rPr>
          <w:rFonts w:hint="eastAsia"/>
        </w:rPr>
        <w:t>依前</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AD39B1">
        <w:rPr>
          <w:rFonts w:hint="eastAsia"/>
        </w:rPr>
        <w:t>上訴人要求停止訴訟之聲請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296A46">
        <w:rPr>
          <w:rFonts w:hint="eastAsia"/>
          <w:b/>
        </w:rPr>
        <w:t>項法律</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以15~40天不等為一期，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因為我怕紅利太高會嚇走投資者，所以我是給我底下投資人3%、4%、最多到6%的紅利」問：「謝淑美如</w:t>
      </w:r>
      <w:r w:rsidR="00BF6216">
        <w:rPr>
          <w:rFonts w:hint="eastAsia"/>
        </w:rPr>
        <w:t>何給付紅利給你們」王答：「初期是本金跟紅利，謝淑美會匯到我彰銀跟</w:t>
      </w:r>
      <w:r w:rsidR="004051B3">
        <w:rPr>
          <w:rFonts w:hint="eastAsia"/>
        </w:rPr>
        <w:t>中信的帳戶，我再轉匯其中的紅利給投資人，本金</w:t>
      </w:r>
      <w:r w:rsidR="00F4062E">
        <w:rPr>
          <w:rFonts w:hint="eastAsia"/>
        </w:rPr>
        <w:t>我</w:t>
      </w:r>
      <w:r w:rsidR="004051B3">
        <w:rPr>
          <w:rFonts w:hint="eastAsia"/>
        </w:rPr>
        <w:t>先留著，後來</w:t>
      </w:r>
      <w:r w:rsidR="00F542C0">
        <w:rPr>
          <w:rFonts w:hint="eastAsia"/>
        </w:rPr>
        <w:t>怕被調查局盯上，</w:t>
      </w:r>
      <w:r w:rsidR="004051B3">
        <w:rPr>
          <w:rFonts w:hint="eastAsia"/>
        </w:rPr>
        <w:t>謝淑美就</w:t>
      </w:r>
      <w:r w:rsidR="006B2873">
        <w:rPr>
          <w:rFonts w:hint="eastAsia"/>
        </w:rPr>
        <w:t>依照我們想要她</w:t>
      </w:r>
      <w:r w:rsidR="004051B3">
        <w:rPr>
          <w:rFonts w:hint="eastAsia"/>
        </w:rPr>
        <w:t>匯多少本金跟紅利他就匯多少給我們」(原審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問：「告訴人皆表示你有從中抽傭，你怎麼解釋？」王答：「我自己分的比較多，是因為我做的比較多。」</w:t>
      </w:r>
      <w:r w:rsidR="00C874BB">
        <w:rPr>
          <w:rFonts w:hint="eastAsia"/>
        </w:rPr>
        <w:t>問:「宋嘉芳(訴外人)所提供的Line對話，她有200萬要拿回，你叫她不要拿回，這跟你所謂單純分享訊息不同，你如何解釋？」王答：「我們是把訊息告訴他此訂單還需要她的200萬，請她先不要拿回去。」</w:t>
      </w:r>
      <w:r w:rsidR="00802A8D">
        <w:rPr>
          <w:rFonts w:hint="eastAsia"/>
        </w:rPr>
        <w:t>(原審卷第281</w:t>
      </w:r>
      <w:r w:rsidR="00C874BB">
        <w:rPr>
          <w:rFonts w:hint="eastAsia"/>
        </w:rPr>
        <w:t>、282</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事證中說明上訴人王寶琴能夠決定她招募投資人的利潤成數，也可</w:t>
      </w:r>
      <w:r w:rsidR="00C12DF2">
        <w:rPr>
          <w:rFonts w:hint="eastAsia"/>
        </w:rPr>
        <w:lastRenderedPageBreak/>
        <w:t>從中抽傭，傭金的成數</w:t>
      </w:r>
      <w:r w:rsidR="00997DBA">
        <w:rPr>
          <w:rFonts w:hint="eastAsia"/>
        </w:rPr>
        <w:t>也</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BF7993">
        <w:rPr>
          <w:rFonts w:hint="eastAsia"/>
          <w:b/>
        </w:rPr>
        <w:t>法律</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w:t>
      </w:r>
      <w:r w:rsidR="00F63EFC">
        <w:rPr>
          <w:rFonts w:hint="eastAsia"/>
        </w:rPr>
        <w:t>原本</w:t>
      </w:r>
      <w:r>
        <w:rPr>
          <w:rFonts w:hint="eastAsia"/>
        </w:rPr>
        <w:t>並不清楚民法第184條第1項前段及後段之請求權</w:t>
      </w:r>
      <w:r w:rsidR="00066D40">
        <w:rPr>
          <w:rFonts w:hint="eastAsia"/>
        </w:rPr>
        <w:t>在法律上意義</w:t>
      </w:r>
      <w:r>
        <w:rPr>
          <w:rFonts w:hint="eastAsia"/>
        </w:rPr>
        <w:t>不同，故於前次準備庭中並未清楚</w:t>
      </w:r>
      <w:r w:rsidR="00FE2D80">
        <w:rPr>
          <w:rFonts w:hint="eastAsia"/>
        </w:rPr>
        <w:t>主張民法</w:t>
      </w:r>
      <w:r>
        <w:rPr>
          <w:rFonts w:hint="eastAsia"/>
        </w:rPr>
        <w:t>第184條第1</w:t>
      </w:r>
      <w:r w:rsidR="008E1C6A">
        <w:rPr>
          <w:rFonts w:hint="eastAsia"/>
        </w:rPr>
        <w:t>項前段、</w:t>
      </w:r>
      <w:r>
        <w:rPr>
          <w:rFonts w:hint="eastAsia"/>
        </w:rPr>
        <w:t>後段皆為本案請求權基礎，合先敘明。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，也以故意的方式，向不特定人招募資金超過1億3千萬，並約定或給付</w:t>
      </w:r>
      <w:r w:rsidR="00011C6A">
        <w:rPr>
          <w:rFonts w:hint="eastAsia"/>
        </w:rPr>
        <w:t>每期2%~6%等</w:t>
      </w:r>
      <w:r w:rsidR="00523610">
        <w:rPr>
          <w:rFonts w:hint="eastAsia"/>
        </w:rPr>
        <w:t>與本金顯不相當之紅利方式吸收資金</w:t>
      </w:r>
      <w:r w:rsidR="00BC4C56">
        <w:rPr>
          <w:rFonts w:hint="eastAsia"/>
        </w:rPr>
        <w:t>(原審卷</w:t>
      </w:r>
      <w:r w:rsidR="00EB13F2">
        <w:rPr>
          <w:rFonts w:hint="eastAsia"/>
        </w:rPr>
        <w:t>第</w:t>
      </w:r>
      <w:r w:rsidR="00BC4C56">
        <w:rPr>
          <w:rFonts w:hint="eastAsia"/>
        </w:rPr>
        <w:t>59~65頁)</w:t>
      </w:r>
      <w:r w:rsidR="00523610">
        <w:rPr>
          <w:rFonts w:hint="eastAsia"/>
        </w:rPr>
        <w:t>，顯為背於善良風俗的方法，致使被上訴人有前述財產權損失事證明確</w:t>
      </w:r>
      <w:r>
        <w:rPr>
          <w:rFonts w:hint="eastAsia"/>
        </w:rPr>
        <w:t>，因此也以</w:t>
      </w:r>
      <w:r w:rsidR="007E107F">
        <w:rPr>
          <w:rFonts w:hint="eastAsia"/>
        </w:rPr>
        <w:t>民法第184條第1項後段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上訴人王寶琴一方面為了躲避調查局追查</w:t>
      </w:r>
      <w:r w:rsidR="008F23E5">
        <w:rPr>
          <w:rFonts w:hint="eastAsia"/>
        </w:rPr>
        <w:t>而認同並</w:t>
      </w:r>
      <w:r>
        <w:rPr>
          <w:rFonts w:hint="eastAsia"/>
        </w:rPr>
        <w:t>允許視同上訴人</w:t>
      </w:r>
      <w:r w:rsidR="008F23E5">
        <w:rPr>
          <w:rFonts w:hint="eastAsia"/>
        </w:rPr>
        <w:t>謝淑美</w:t>
      </w:r>
      <w:r>
        <w:rPr>
          <w:rFonts w:hint="eastAsia"/>
        </w:rPr>
        <w:t>不歸還本金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以話術欺騙</w:t>
      </w:r>
      <w:r>
        <w:rPr>
          <w:rFonts w:hint="eastAsia"/>
        </w:rPr>
        <w:t>被上訴人</w:t>
      </w:r>
      <w:r w:rsidR="008F23E5">
        <w:rPr>
          <w:rFonts w:hint="eastAsia"/>
        </w:rPr>
        <w:t>此投資案調查局、稅捐處都確認沒有問題(原審卷第77頁–Line通訊截圖)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明知調查局是公正的執法單位，為了躲避追查</w:t>
      </w:r>
      <w:r w:rsidR="00051AB1">
        <w:rPr>
          <w:rFonts w:hint="eastAsia"/>
        </w:rPr>
        <w:t>實</w:t>
      </w:r>
      <w:r w:rsidR="008F23E5">
        <w:rPr>
          <w:rFonts w:hint="eastAsia"/>
        </w:rPr>
        <w:t>有</w:t>
      </w:r>
      <w:r w:rsidR="008F23E5">
        <w:rPr>
          <w:rFonts w:hint="eastAsia"/>
        </w:rPr>
        <w:lastRenderedPageBreak/>
        <w:t>「預見其發生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以為真有這樣投資機會，怎麼會一次的交易流程都沒去確認過？她經手超過1億現金卻完全不擔心？還是這就是她本意？她顯有未盡善良管理人之注意之責（</w:t>
      </w:r>
      <w:r w:rsidRPr="00827038">
        <w:rPr>
          <w:rFonts w:cs="Times New Roman" w:hint="eastAsia"/>
        </w:rPr>
        <w:t>最高法院42年台上字第865號、19年上字第2746號判例參照</w:t>
      </w:r>
      <w:r>
        <w:rPr>
          <w:rFonts w:hint="eastAsia"/>
        </w:rPr>
        <w:t>）。若上訴人王寶琴所言她能夠實際參與交易情事為真，則有「應注意、能注意、而不注意」的過失；若王寶琴所言為假，則更有以欺騙等違背善良風俗的方法來吸收資金並從中獲利的故意侵權行為。另外，視同上訴人謝淑美也於原審辯論庭說：「王寶琴從頭到尾沒有參與過實際交卷動作」(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4C317C" w:rsidP="009B6894">
      <w:pPr>
        <w:pStyle w:val="0000"/>
        <w:numPr>
          <w:ilvl w:val="0"/>
          <w:numId w:val="14"/>
        </w:numPr>
        <w:tabs>
          <w:tab w:val="clear" w:pos="6804"/>
        </w:tabs>
        <w:ind w:left="993" w:hanging="709"/>
        <w:jc w:val="both"/>
      </w:pPr>
      <w:r>
        <w:rPr>
          <w:rFonts w:hint="eastAsia"/>
        </w:rPr>
        <w:t>由於詐騙案吸金案多以不還本金且高額利潤為吸引條件，而</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Pr>
          <w:rFonts w:hint="eastAsia"/>
        </w:rPr>
        <w:t>來</w:t>
      </w:r>
      <w:r w:rsidR="00BC4C56">
        <w:rPr>
          <w:rFonts w:hint="eastAsia"/>
        </w:rPr>
        <w:t>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，上訴人王寶琴以欺騙</w:t>
      </w:r>
      <w:r w:rsidR="00B93883">
        <w:rPr>
          <w:rFonts w:hint="eastAsia"/>
        </w:rPr>
        <w:t>行為是以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Pr>
          <w:rFonts w:hint="eastAsia"/>
        </w:rPr>
        <w:t>陷於錯誤，侵害被上訴人</w:t>
      </w:r>
      <w:r w:rsidR="00FF180C">
        <w:rPr>
          <w:rFonts w:hint="eastAsia"/>
        </w:rPr>
        <w:t>「人格權」中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430226">
        <w:rPr>
          <w:rFonts w:hint="eastAsia"/>
        </w:rPr>
        <w:t>造成被上訴人計有</w:t>
      </w:r>
      <w:r w:rsidR="00BC4C56">
        <w:rPr>
          <w:rFonts w:hint="eastAsia"/>
        </w:rPr>
        <w:t>新台幣132.5萬的本金未取回的損失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w:t>
      </w:r>
      <w:r>
        <w:rPr>
          <w:rFonts w:cs="Times New Roman" w:hint="eastAsia"/>
        </w:rPr>
        <w:lastRenderedPageBreak/>
        <w:t>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927093" w:rsidP="00C72B6A">
      <w:pPr>
        <w:pStyle w:val="0000"/>
        <w:numPr>
          <w:ilvl w:val="0"/>
          <w:numId w:val="2"/>
        </w:numPr>
        <w:tabs>
          <w:tab w:val="clear" w:pos="6804"/>
        </w:tabs>
        <w:jc w:val="both"/>
        <w:rPr>
          <w:b/>
        </w:rPr>
      </w:pPr>
      <w:r w:rsidRPr="00927093">
        <w:rPr>
          <w:rFonts w:hint="eastAsia"/>
          <w:b/>
        </w:rPr>
        <w:t>上訴人王寶琴有濫用上訴權之疑慮：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)上訴人王寶琴以每20天左右為期約定給付3%~6%與本金顯不相當紅利予被上訴人、(四)上訴人王寶琴對其行為係以收受投資之名義，向多數人收受款項或吸收資金乙節知之甚明等事</w:t>
      </w:r>
      <w:r w:rsidR="0092658E">
        <w:rPr>
          <w:rFonts w:hint="eastAsia"/>
        </w:rPr>
        <w:t>實</w:t>
      </w:r>
      <w:r>
        <w:rPr>
          <w:rFonts w:hint="eastAsia"/>
        </w:rPr>
        <w:t>證</w:t>
      </w:r>
      <w:r w:rsidR="0092658E">
        <w:rPr>
          <w:rFonts w:hint="eastAsia"/>
        </w:rPr>
        <w:t>據均</w:t>
      </w:r>
      <w:r>
        <w:rPr>
          <w:rFonts w:hint="eastAsia"/>
        </w:rPr>
        <w:t>不辯解。</w:t>
      </w:r>
    </w:p>
    <w:p w:rsidR="003C617B" w:rsidRDefault="00643C26" w:rsidP="00927093">
      <w:pPr>
        <w:pStyle w:val="0000"/>
        <w:numPr>
          <w:ilvl w:val="0"/>
          <w:numId w:val="16"/>
        </w:numPr>
        <w:tabs>
          <w:tab w:val="clear" w:pos="6804"/>
        </w:tabs>
        <w:jc w:val="both"/>
      </w:pPr>
      <w:r>
        <w:rPr>
          <w:rFonts w:hint="eastAsia"/>
        </w:rPr>
        <w:t>「在第一審所為之訴訟行為於第二審亦有效力」民事訴訟法第448條定有明文</w:t>
      </w:r>
      <w:r w:rsidR="003C617B">
        <w:rPr>
          <w:rFonts w:hint="eastAsia"/>
        </w:rPr>
        <w:t>。</w:t>
      </w:r>
      <w:r>
        <w:rPr>
          <w:rFonts w:hint="eastAsia"/>
        </w:rPr>
        <w:t>上訴人王寶琴</w:t>
      </w:r>
      <w:r w:rsidR="00BB311A">
        <w:rPr>
          <w:rFonts w:hint="eastAsia"/>
        </w:rPr>
        <w:t>另</w:t>
      </w:r>
      <w:r>
        <w:rPr>
          <w:rFonts w:hint="eastAsia"/>
        </w:rPr>
        <w:t>欲以「另外傳訊十一位證人」、「原審判決速斷」、「要求停止訴訟」、「為存款交付之人」、「並非資金需求者」…云云等新的聲請或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實有故意拖延訴訟意圖，究其所</w:t>
      </w:r>
      <w:r w:rsidR="008D4A1B">
        <w:rPr>
          <w:rFonts w:hint="eastAsia"/>
        </w:rPr>
        <w:t>聲請</w:t>
      </w:r>
      <w:r>
        <w:rPr>
          <w:rFonts w:hint="eastAsia"/>
        </w:rPr>
        <w:t>傳訊證人或新的辯解理由</w:t>
      </w:r>
      <w:r w:rsidR="00CB5C0D">
        <w:rPr>
          <w:rFonts w:hint="eastAsia"/>
        </w:rPr>
        <w:t>或是列舉其他法院訴訟案例</w:t>
      </w:r>
      <w:r w:rsidR="00485390">
        <w:rPr>
          <w:rFonts w:hint="eastAsia"/>
        </w:rPr>
        <w:t>等</w:t>
      </w:r>
      <w:r>
        <w:rPr>
          <w:rFonts w:hint="eastAsia"/>
        </w:rPr>
        <w:t>又</w:t>
      </w:r>
      <w:r w:rsidR="00DC1A8E">
        <w:rPr>
          <w:rFonts w:hint="eastAsia"/>
        </w:rPr>
        <w:t>都</w:t>
      </w:r>
      <w:r>
        <w:rPr>
          <w:rFonts w:hint="eastAsia"/>
        </w:rPr>
        <w:t>與原審判決所認定事實</w:t>
      </w:r>
      <w:r w:rsidR="00EB13F2">
        <w:rPr>
          <w:rFonts w:hint="eastAsia"/>
        </w:rPr>
        <w:t>及</w:t>
      </w:r>
      <w:r w:rsidR="00CB5C0D">
        <w:rPr>
          <w:rFonts w:hint="eastAsia"/>
        </w:rPr>
        <w:t>見解</w:t>
      </w:r>
      <w:r>
        <w:rPr>
          <w:rFonts w:hint="eastAsia"/>
        </w:rPr>
        <w:t>無涉</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綜上，上訴人王寶琴並不</w:t>
      </w:r>
      <w:r w:rsidR="00A119D3">
        <w:rPr>
          <w:rFonts w:hint="eastAsia"/>
        </w:rPr>
        <w:t>面對並</w:t>
      </w:r>
      <w:r>
        <w:rPr>
          <w:rFonts w:hint="eastAsia"/>
        </w:rPr>
        <w:t>明確指出原審見解或事</w:t>
      </w:r>
      <w:r w:rsidR="00643C26">
        <w:rPr>
          <w:rFonts w:hint="eastAsia"/>
        </w:rPr>
        <w:t>實</w:t>
      </w:r>
      <w:r w:rsidR="002007DE">
        <w:rPr>
          <w:rFonts w:hint="eastAsia"/>
        </w:rPr>
        <w:t>證據</w:t>
      </w:r>
      <w:r>
        <w:rPr>
          <w:rFonts w:hint="eastAsia"/>
        </w:rPr>
        <w:t>認定上有何錯誤，只是另外提出傳訊證人或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辯解，但又無相關舉證，實</w:t>
      </w:r>
      <w:r w:rsidR="00643C26">
        <w:rPr>
          <w:rFonts w:hint="eastAsia"/>
        </w:rPr>
        <w:t>有濫用上訴權之疑慮。</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鈞院採信上訴人王寶琴新攻擊或防禦方法，則聲請調查證據：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582A54">
        <w:rPr>
          <w:rFonts w:hint="eastAsia"/>
        </w:rPr>
        <w:t>條定有明文。上訴</w:t>
      </w:r>
      <w:r w:rsidR="00582A54">
        <w:rPr>
          <w:rFonts w:hint="eastAsia"/>
        </w:rPr>
        <w:lastRenderedPageBreak/>
        <w:t>人王寶琴</w:t>
      </w:r>
      <w:r>
        <w:rPr>
          <w:rFonts w:hint="eastAsia"/>
        </w:rPr>
        <w:t>於前次準備庭中</w:t>
      </w:r>
      <w:r w:rsidR="00550FDE">
        <w:rPr>
          <w:rFonts w:hint="eastAsia"/>
        </w:rPr>
        <w:t>先以</w:t>
      </w:r>
      <w:r>
        <w:rPr>
          <w:rFonts w:hint="eastAsia"/>
        </w:rPr>
        <w:t>突襲式遞狀要求停止訴訟，又以新的說詞辯稱其為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5B2839">
        <w:rPr>
          <w:rFonts w:hint="eastAsia"/>
        </w:rPr>
        <w:t>明確指出確實有主動招募不特定36人</w:t>
      </w:r>
      <w:r w:rsidR="00204EE2">
        <w:rPr>
          <w:rFonts w:hint="eastAsia"/>
        </w:rPr>
        <w:t>吸收</w:t>
      </w:r>
      <w:r w:rsidR="005B2839">
        <w:rPr>
          <w:rFonts w:hint="eastAsia"/>
        </w:rPr>
        <w:t>超過1億3千萬資金（</w:t>
      </w:r>
      <w:r w:rsidR="00513021">
        <w:rPr>
          <w:rFonts w:hint="eastAsia"/>
        </w:rPr>
        <w:t>原審卷</w:t>
      </w:r>
      <w:r w:rsidR="00464728">
        <w:rPr>
          <w:rFonts w:hint="eastAsia"/>
        </w:rPr>
        <w:t>第</w:t>
      </w:r>
      <w:r w:rsidR="00513021">
        <w:rPr>
          <w:rFonts w:hint="eastAsia"/>
        </w:rPr>
        <w:t>59~65頁</w:t>
      </w:r>
      <w:r w:rsidR="00501982">
        <w:rPr>
          <w:rFonts w:hint="eastAsia"/>
        </w:rPr>
        <w:t>、第297~303頁</w:t>
      </w:r>
      <w:r w:rsidR="005B2839">
        <w:rPr>
          <w:rFonts w:hint="eastAsia"/>
        </w:rPr>
        <w:t>），以及調查局</w:t>
      </w:r>
      <w:r w:rsidR="00C96676">
        <w:rPr>
          <w:rFonts w:hint="eastAsia"/>
        </w:rPr>
        <w:t>偵訊</w:t>
      </w:r>
      <w:r w:rsidR="005B2839">
        <w:rPr>
          <w:rFonts w:hint="eastAsia"/>
        </w:rPr>
        <w:t>筆錄</w:t>
      </w:r>
      <w:r w:rsidR="00C96676">
        <w:rPr>
          <w:rFonts w:hint="eastAsia"/>
        </w:rPr>
        <w:t>記載</w:t>
      </w:r>
      <w:r w:rsidR="005B2839">
        <w:rPr>
          <w:rFonts w:hint="eastAsia"/>
        </w:rPr>
        <w:t>要求（訴外人）宋嘉芳不要拿回本金的要求</w:t>
      </w:r>
      <w:r w:rsidR="00A24F2D">
        <w:rPr>
          <w:rFonts w:hint="eastAsia"/>
        </w:rPr>
        <w:t>，王寶琴能決定投資人利潤、自己抽傭成數</w:t>
      </w:r>
      <w:r w:rsidR="00204EE2">
        <w:rPr>
          <w:rFonts w:hint="eastAsia"/>
        </w:rPr>
        <w:t>（</w:t>
      </w:r>
      <w:r w:rsidR="00513021">
        <w:rPr>
          <w:rFonts w:hint="eastAsia"/>
        </w:rPr>
        <w:t>原審卷第281、282</w:t>
      </w:r>
      <w:r w:rsidR="00A24F2D">
        <w:rPr>
          <w:rFonts w:hint="eastAsia"/>
        </w:rPr>
        <w:t>、267、269</w:t>
      </w:r>
      <w:r w:rsidR="00513021">
        <w:rPr>
          <w:rFonts w:hint="eastAsia"/>
        </w:rPr>
        <w:t>頁</w:t>
      </w:r>
      <w:r w:rsidR="00204EE2">
        <w:rPr>
          <w:rFonts w:hint="eastAsia"/>
        </w:rPr>
        <w:t>）等明確事證</w:t>
      </w:r>
      <w:r w:rsidR="00135207">
        <w:rPr>
          <w:rFonts w:hint="eastAsia"/>
        </w:rPr>
        <w:t>並</w:t>
      </w:r>
      <w:r w:rsidR="00204EE2">
        <w:rPr>
          <w:rFonts w:hint="eastAsia"/>
        </w:rPr>
        <w:t>不</w:t>
      </w:r>
      <w:r w:rsidR="00135207">
        <w:rPr>
          <w:rFonts w:hint="eastAsia"/>
        </w:rPr>
        <w:t>相</w:t>
      </w:r>
      <w:r w:rsidR="00204EE2">
        <w:rPr>
          <w:rFonts w:hint="eastAsia"/>
        </w:rPr>
        <w:t>同</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其說法，則</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王寶琴所收受下線投資人的資金是否全部交付予謝淑美</w:t>
      </w:r>
      <w:r w:rsidR="00BB5B0E">
        <w:rPr>
          <w:rFonts w:hint="eastAsia"/>
        </w:rPr>
        <w:t>亦</w:t>
      </w:r>
      <w:r>
        <w:rPr>
          <w:rFonts w:hint="eastAsia"/>
        </w:rPr>
        <w:t>或有挪用或中飽私囊。</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是否全部交還給其下線投資人</w:t>
      </w:r>
      <w:r w:rsidR="004E6594">
        <w:rPr>
          <w:rFonts w:hint="eastAsia"/>
        </w:rPr>
        <w:t>亦</w:t>
      </w:r>
      <w:r>
        <w:rPr>
          <w:rFonts w:hint="eastAsia"/>
        </w:rPr>
        <w:t>或有挪用或中飽私囊。</w:t>
      </w:r>
    </w:p>
    <w:p w:rsidR="00003D79" w:rsidRDefault="007D4D74" w:rsidP="00BB5B0E">
      <w:pPr>
        <w:pStyle w:val="0000"/>
        <w:numPr>
          <w:ilvl w:val="0"/>
          <w:numId w:val="19"/>
        </w:numPr>
        <w:tabs>
          <w:tab w:val="clear" w:pos="6804"/>
        </w:tabs>
        <w:jc w:val="both"/>
      </w:pPr>
      <w:r>
        <w:rPr>
          <w:rFonts w:hint="eastAsia"/>
        </w:rPr>
        <w:t>王寶琴是否有</w:t>
      </w:r>
      <w:r w:rsidR="00562AAC">
        <w:rPr>
          <w:rFonts w:hint="eastAsia"/>
        </w:rPr>
        <w:t>如實依照謝淑美要求的投資日期投</w:t>
      </w:r>
      <w:r w:rsidR="00D56C4B">
        <w:rPr>
          <w:rFonts w:hint="eastAsia"/>
        </w:rPr>
        <w:t>入資金或取回本金或紅利</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E66636" w:rsidRDefault="00DE663B" w:rsidP="00422113">
      <w:pPr>
        <w:pStyle w:val="0000"/>
        <w:numPr>
          <w:ilvl w:val="0"/>
          <w:numId w:val="2"/>
        </w:numPr>
        <w:tabs>
          <w:tab w:val="clear" w:pos="6804"/>
        </w:tabs>
        <w:jc w:val="both"/>
      </w:pPr>
      <w:r>
        <w:rPr>
          <w:rFonts w:hint="eastAsia"/>
        </w:rPr>
        <w:t>「第二審法院認上訴為無理由者，應為駁回之判決。原判決依其理由雖屬不當，而依其他理由為正當者，應以上訴為無理由」民事訴訟法第449條定有明文。本民事訴訟依照原審判決，</w:t>
      </w:r>
      <w:r w:rsidR="00C83205">
        <w:rPr>
          <w:rFonts w:hint="eastAsia"/>
        </w:rPr>
        <w:t>是</w:t>
      </w:r>
      <w:r>
        <w:rPr>
          <w:rFonts w:hint="eastAsia"/>
        </w:rPr>
        <w:t>以上訴人王寶琴及視同上訴人謝淑美</w:t>
      </w:r>
      <w:r w:rsidR="00AB1022">
        <w:rPr>
          <w:rFonts w:hint="eastAsia"/>
        </w:rPr>
        <w:t>共同</w:t>
      </w:r>
      <w:r>
        <w:rPr>
          <w:rFonts w:hint="eastAsia"/>
        </w:rPr>
        <w:t>觸犯民法第184條第2項及民法第185條事證明確</w:t>
      </w:r>
      <w:r w:rsidR="00C83205">
        <w:rPr>
          <w:rFonts w:hint="eastAsia"/>
        </w:rPr>
        <w:t>（原審卷第297~303頁）</w:t>
      </w:r>
      <w:r>
        <w:rPr>
          <w:rFonts w:hint="eastAsia"/>
        </w:rPr>
        <w:t>，但若 鈞院不</w:t>
      </w:r>
      <w:r w:rsidR="003C2FC5">
        <w:rPr>
          <w:rFonts w:hint="eastAsia"/>
        </w:rPr>
        <w:t>採納</w:t>
      </w:r>
      <w:r>
        <w:rPr>
          <w:rFonts w:hint="eastAsia"/>
        </w:rPr>
        <w:t>原審見解</w:t>
      </w:r>
      <w:r w:rsidR="00546B86">
        <w:rPr>
          <w:rFonts w:hint="eastAsia"/>
        </w:rPr>
        <w:t>及判決</w:t>
      </w:r>
      <w:r>
        <w:rPr>
          <w:rFonts w:hint="eastAsia"/>
        </w:rPr>
        <w:t>，則上訴人等</w:t>
      </w:r>
      <w:r w:rsidR="009300A8">
        <w:rPr>
          <w:rFonts w:hint="eastAsia"/>
        </w:rPr>
        <w:t>另</w:t>
      </w:r>
      <w:r>
        <w:rPr>
          <w:rFonts w:hint="eastAsia"/>
        </w:rPr>
        <w:t>也觸犯民</w:t>
      </w:r>
      <w:r>
        <w:rPr>
          <w:rFonts w:hint="eastAsia"/>
        </w:rPr>
        <w:lastRenderedPageBreak/>
        <w:t>法第184條第1項前段、</w:t>
      </w:r>
      <w:r w:rsidR="00C83205">
        <w:rPr>
          <w:rFonts w:hint="eastAsia"/>
        </w:rPr>
        <w:t>民法第184條第1項</w:t>
      </w:r>
      <w:r>
        <w:rPr>
          <w:rFonts w:hint="eastAsia"/>
        </w:rPr>
        <w:t>後段</w:t>
      </w:r>
      <w:r w:rsidR="00C83205">
        <w:rPr>
          <w:rFonts w:hint="eastAsia"/>
        </w:rPr>
        <w:t>及民法第185條等法律</w:t>
      </w:r>
      <w:r>
        <w:rPr>
          <w:rFonts w:hint="eastAsia"/>
        </w:rPr>
        <w:t>事證明確，</w:t>
      </w:r>
      <w:r w:rsidR="00C83205">
        <w:rPr>
          <w:rFonts w:hint="eastAsia"/>
        </w:rPr>
        <w:t>故</w:t>
      </w:r>
      <w:r w:rsidR="0082165D">
        <w:rPr>
          <w:rFonts w:hint="eastAsia"/>
        </w:rPr>
        <w:t>仍</w:t>
      </w:r>
      <w:r>
        <w:rPr>
          <w:rFonts w:hint="eastAsia"/>
        </w:rPr>
        <w:t>應以上訴無理由駁回之。</w:t>
      </w:r>
    </w:p>
    <w:p w:rsidR="008F0CC9" w:rsidRDefault="008F0CC9" w:rsidP="008F0CC9">
      <w:pPr>
        <w:pStyle w:val="0000"/>
        <w:numPr>
          <w:ilvl w:val="0"/>
          <w:numId w:val="2"/>
        </w:numPr>
        <w:tabs>
          <w:tab w:val="clear" w:pos="6804"/>
        </w:tabs>
        <w:jc w:val="both"/>
      </w:pPr>
      <w:r>
        <w:rPr>
          <w:rFonts w:hint="eastAsia"/>
        </w:rPr>
        <w:t>「因故意侵權行為而負擔之債，其債務人不得主張抵銷」民法第339條定有明文。上訴人王寶琴及視同上訴人有前</w:t>
      </w:r>
      <w:r w:rsidR="003761CF">
        <w:rPr>
          <w:rFonts w:hint="eastAsia"/>
        </w:rPr>
        <w:t>揭</w:t>
      </w:r>
      <w:r>
        <w:rPr>
          <w:rFonts w:hint="eastAsia"/>
        </w:rPr>
        <w:t>相關故意侵權行為，致使被上訴人有新台幣132萬5000元損失之事證明確，</w:t>
      </w:r>
      <w:r w:rsidR="00C133EC">
        <w:rPr>
          <w:rFonts w:hint="eastAsia"/>
        </w:rPr>
        <w:t>故</w:t>
      </w:r>
      <w:r>
        <w:rPr>
          <w:rFonts w:hint="eastAsia"/>
        </w:rPr>
        <w:t>不得主張</w:t>
      </w:r>
      <w:r w:rsidR="00766EFC">
        <w:rPr>
          <w:rFonts w:hint="eastAsia"/>
        </w:rPr>
        <w:t>僅</w:t>
      </w:r>
      <w:r w:rsidR="00C31556">
        <w:rPr>
          <w:rFonts w:hint="eastAsia"/>
        </w:rPr>
        <w:t>因被上訴人配偶在銀行上班而</w:t>
      </w:r>
      <w:r w:rsidR="00766EFC">
        <w:rPr>
          <w:rFonts w:hint="eastAsia"/>
        </w:rPr>
        <w:t>與有過失</w:t>
      </w:r>
      <w:r w:rsidR="00C31556">
        <w:rPr>
          <w:rFonts w:hint="eastAsia"/>
        </w:rPr>
        <w:t>等理由要求</w:t>
      </w:r>
      <w:r>
        <w:rPr>
          <w:rFonts w:hint="eastAsia"/>
        </w:rPr>
        <w:t>抵銷。</w:t>
      </w:r>
    </w:p>
    <w:p w:rsidR="00562AAC" w:rsidRDefault="00003D79" w:rsidP="00422113">
      <w:pPr>
        <w:pStyle w:val="0000"/>
        <w:numPr>
          <w:ilvl w:val="0"/>
          <w:numId w:val="2"/>
        </w:numPr>
        <w:tabs>
          <w:tab w:val="clear" w:pos="6804"/>
        </w:tabs>
        <w:jc w:val="both"/>
      </w:pPr>
      <w:r>
        <w:rPr>
          <w:rFonts w:hint="eastAsia"/>
        </w:rPr>
        <w:t>綜上，</w:t>
      </w:r>
      <w:r w:rsidR="0083223A">
        <w:rPr>
          <w:rFonts w:hint="eastAsia"/>
        </w:rPr>
        <w:t>敬請 鈞院以民法第184條第1項前段、</w:t>
      </w:r>
      <w:r w:rsidR="006E1224">
        <w:rPr>
          <w:rFonts w:hint="eastAsia"/>
        </w:rPr>
        <w:t>第184條第1項</w:t>
      </w:r>
      <w:r w:rsidR="0083223A">
        <w:rPr>
          <w:rFonts w:hint="eastAsia"/>
        </w:rPr>
        <w:t>後段</w:t>
      </w:r>
      <w:r w:rsidR="006E1224">
        <w:rPr>
          <w:rFonts w:hint="eastAsia"/>
        </w:rPr>
        <w:t>、</w:t>
      </w:r>
      <w:r w:rsidR="0083223A">
        <w:rPr>
          <w:rFonts w:hint="eastAsia"/>
        </w:rPr>
        <w:t>第184條第2項等法律關係擇一，及民法第185條等為請求權基礎，以</w:t>
      </w:r>
      <w:r w:rsidR="0028329B">
        <w:rPr>
          <w:rFonts w:hint="eastAsia"/>
        </w:rPr>
        <w:t>及</w:t>
      </w:r>
      <w:r w:rsidR="0083223A">
        <w:rPr>
          <w:rFonts w:hint="eastAsia"/>
        </w:rPr>
        <w:t>對被上訴人有利</w:t>
      </w:r>
      <w:r w:rsidR="006763CC">
        <w:rPr>
          <w:rFonts w:hint="eastAsia"/>
        </w:rPr>
        <w:t>為</w:t>
      </w:r>
      <w:r w:rsidR="000D3AB8">
        <w:rPr>
          <w:rFonts w:hint="eastAsia"/>
        </w:rPr>
        <w:t>判</w:t>
      </w:r>
      <w:r w:rsidR="00697286">
        <w:rPr>
          <w:rFonts w:hint="eastAsia"/>
        </w:rPr>
        <w:t>定</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CE029E" w:rsidRDefault="00CE029E" w:rsidP="00CE029E">
      <w:pPr>
        <w:pStyle w:val="0000"/>
        <w:tabs>
          <w:tab w:val="clear" w:pos="6804"/>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6933F3">
        <w:rPr>
          <w:rFonts w:hint="eastAsia"/>
        </w:rPr>
        <w:t>194、213</w:t>
      </w:r>
      <w:r w:rsidR="00B5436C">
        <w:rPr>
          <w:rFonts w:hint="eastAsia"/>
        </w:rPr>
        <w:t>頁</w:t>
      </w:r>
      <w:r w:rsidR="00DC2905">
        <w:rPr>
          <w:rFonts w:hint="eastAsia"/>
        </w:rPr>
        <w:t>。</w:t>
      </w:r>
    </w:p>
    <w:p w:rsidR="00DC2905"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1746卷第59~65、231、247、249、267、269、281、</w:t>
      </w:r>
    </w:p>
    <w:p w:rsidR="00F00C0E" w:rsidRDefault="00DC2905" w:rsidP="00491A60">
      <w:pPr>
        <w:pStyle w:val="0000"/>
        <w:tabs>
          <w:tab w:val="clear" w:pos="6804"/>
        </w:tabs>
        <w:jc w:val="both"/>
      </w:pPr>
      <w:r>
        <w:rPr>
          <w:rFonts w:hint="eastAsia"/>
        </w:rPr>
        <w:t xml:space="preserve">        282頁。</w:t>
      </w:r>
    </w:p>
    <w:p w:rsidR="007F5A96" w:rsidRPr="00DC2905" w:rsidRDefault="007F5A96" w:rsidP="001D6475">
      <w:pPr>
        <w:pStyle w:val="0000"/>
        <w:tabs>
          <w:tab w:val="clear" w:pos="6804"/>
        </w:tabs>
        <w:ind w:left="720"/>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1D6475" w:rsidRDefault="001D6475" w:rsidP="00AE7D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1EA3" w:rsidRPr="00340306" w:rsidRDefault="00B91EA3" w:rsidP="00380A63">
      <w:pPr>
        <w:spacing w:line="480" w:lineRule="exact"/>
        <w:jc w:val="right"/>
        <w:rPr>
          <w:rFonts w:ascii="標楷體" w:eastAsia="標楷體" w:hAnsi="標楷體"/>
          <w:sz w:val="28"/>
          <w:szCs w:val="28"/>
        </w:rPr>
      </w:pP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32F" w:rsidRDefault="005B532F" w:rsidP="00A13A54">
      <w:r>
        <w:separator/>
      </w:r>
    </w:p>
  </w:endnote>
  <w:endnote w:type="continuationSeparator" w:id="1">
    <w:p w:rsidR="005B532F" w:rsidRDefault="005B532F"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8236BE">
        <w:pPr>
          <w:pStyle w:val="a5"/>
          <w:jc w:val="center"/>
        </w:pPr>
        <w:fldSimple w:instr="PAGE   \* MERGEFORMAT">
          <w:r w:rsidR="003A55DC" w:rsidRPr="003A55DC">
            <w:rPr>
              <w:noProof/>
              <w:lang w:val="zh-TW"/>
            </w:rPr>
            <w:t>4</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32F" w:rsidRDefault="005B532F" w:rsidP="00A13A54">
      <w:r>
        <w:separator/>
      </w:r>
    </w:p>
  </w:footnote>
  <w:footnote w:type="continuationSeparator" w:id="1">
    <w:p w:rsidR="005B532F" w:rsidRDefault="005B532F"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D79"/>
    <w:rsid w:val="00003F38"/>
    <w:rsid w:val="000109E7"/>
    <w:rsid w:val="00011C6A"/>
    <w:rsid w:val="000157AC"/>
    <w:rsid w:val="00023005"/>
    <w:rsid w:val="00025165"/>
    <w:rsid w:val="00027965"/>
    <w:rsid w:val="000312BC"/>
    <w:rsid w:val="00033F5C"/>
    <w:rsid w:val="00045C82"/>
    <w:rsid w:val="000505E9"/>
    <w:rsid w:val="00051AB1"/>
    <w:rsid w:val="00052E9B"/>
    <w:rsid w:val="00053E65"/>
    <w:rsid w:val="00055CD6"/>
    <w:rsid w:val="00056B4C"/>
    <w:rsid w:val="000607AF"/>
    <w:rsid w:val="00061CA4"/>
    <w:rsid w:val="00061F26"/>
    <w:rsid w:val="000663BD"/>
    <w:rsid w:val="00066D40"/>
    <w:rsid w:val="0007522F"/>
    <w:rsid w:val="00076BFF"/>
    <w:rsid w:val="000831DB"/>
    <w:rsid w:val="00085E83"/>
    <w:rsid w:val="00094943"/>
    <w:rsid w:val="000A0545"/>
    <w:rsid w:val="000A1D15"/>
    <w:rsid w:val="000A2E79"/>
    <w:rsid w:val="000A3D75"/>
    <w:rsid w:val="000A492E"/>
    <w:rsid w:val="000B18B9"/>
    <w:rsid w:val="000B69C4"/>
    <w:rsid w:val="000B75C2"/>
    <w:rsid w:val="000C0258"/>
    <w:rsid w:val="000C0A7E"/>
    <w:rsid w:val="000C0A98"/>
    <w:rsid w:val="000C20CC"/>
    <w:rsid w:val="000C434C"/>
    <w:rsid w:val="000C6A3D"/>
    <w:rsid w:val="000C7787"/>
    <w:rsid w:val="000D17FC"/>
    <w:rsid w:val="000D3251"/>
    <w:rsid w:val="000D3AB8"/>
    <w:rsid w:val="000D54A0"/>
    <w:rsid w:val="000D5B9A"/>
    <w:rsid w:val="000D5F18"/>
    <w:rsid w:val="000D6207"/>
    <w:rsid w:val="000D67C2"/>
    <w:rsid w:val="000F0111"/>
    <w:rsid w:val="000F0A4B"/>
    <w:rsid w:val="000F555E"/>
    <w:rsid w:val="00101044"/>
    <w:rsid w:val="001120DA"/>
    <w:rsid w:val="00120375"/>
    <w:rsid w:val="001208CE"/>
    <w:rsid w:val="00123B9E"/>
    <w:rsid w:val="00124D65"/>
    <w:rsid w:val="001252E1"/>
    <w:rsid w:val="00133F3B"/>
    <w:rsid w:val="00135207"/>
    <w:rsid w:val="00136BAE"/>
    <w:rsid w:val="00137DA6"/>
    <w:rsid w:val="0014016D"/>
    <w:rsid w:val="00140729"/>
    <w:rsid w:val="00143C13"/>
    <w:rsid w:val="001449D8"/>
    <w:rsid w:val="00160FD5"/>
    <w:rsid w:val="00163C83"/>
    <w:rsid w:val="0017358B"/>
    <w:rsid w:val="00180F24"/>
    <w:rsid w:val="00181292"/>
    <w:rsid w:val="00181709"/>
    <w:rsid w:val="00182190"/>
    <w:rsid w:val="00191411"/>
    <w:rsid w:val="001935C8"/>
    <w:rsid w:val="00194BFC"/>
    <w:rsid w:val="00194C69"/>
    <w:rsid w:val="00197790"/>
    <w:rsid w:val="001A32F3"/>
    <w:rsid w:val="001A4E8C"/>
    <w:rsid w:val="001A6282"/>
    <w:rsid w:val="001A73B3"/>
    <w:rsid w:val="001B2729"/>
    <w:rsid w:val="001B5BD2"/>
    <w:rsid w:val="001C6363"/>
    <w:rsid w:val="001D6091"/>
    <w:rsid w:val="001D6475"/>
    <w:rsid w:val="001D77DD"/>
    <w:rsid w:val="001E1FEC"/>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5B86"/>
    <w:rsid w:val="00250E7B"/>
    <w:rsid w:val="00253268"/>
    <w:rsid w:val="00253DD7"/>
    <w:rsid w:val="0027233F"/>
    <w:rsid w:val="00272396"/>
    <w:rsid w:val="002731FA"/>
    <w:rsid w:val="002751D5"/>
    <w:rsid w:val="00281B82"/>
    <w:rsid w:val="0028329B"/>
    <w:rsid w:val="00284F80"/>
    <w:rsid w:val="00287929"/>
    <w:rsid w:val="00292087"/>
    <w:rsid w:val="002944AD"/>
    <w:rsid w:val="00295B84"/>
    <w:rsid w:val="00296A46"/>
    <w:rsid w:val="00297784"/>
    <w:rsid w:val="00297867"/>
    <w:rsid w:val="002A0E08"/>
    <w:rsid w:val="002A1547"/>
    <w:rsid w:val="002B204F"/>
    <w:rsid w:val="002B2E93"/>
    <w:rsid w:val="002B4806"/>
    <w:rsid w:val="002C309E"/>
    <w:rsid w:val="002C3658"/>
    <w:rsid w:val="002C5133"/>
    <w:rsid w:val="002D1A0A"/>
    <w:rsid w:val="002E57AF"/>
    <w:rsid w:val="002F1CB4"/>
    <w:rsid w:val="002F3DBC"/>
    <w:rsid w:val="003015AA"/>
    <w:rsid w:val="0030639F"/>
    <w:rsid w:val="003100AF"/>
    <w:rsid w:val="00310994"/>
    <w:rsid w:val="00312162"/>
    <w:rsid w:val="00314F77"/>
    <w:rsid w:val="00315CA8"/>
    <w:rsid w:val="0032379C"/>
    <w:rsid w:val="00332BDA"/>
    <w:rsid w:val="00332FBE"/>
    <w:rsid w:val="00334091"/>
    <w:rsid w:val="00346297"/>
    <w:rsid w:val="003471DD"/>
    <w:rsid w:val="003519BA"/>
    <w:rsid w:val="00352067"/>
    <w:rsid w:val="00354F3E"/>
    <w:rsid w:val="00356947"/>
    <w:rsid w:val="003745AB"/>
    <w:rsid w:val="003761CF"/>
    <w:rsid w:val="00377B6D"/>
    <w:rsid w:val="00377F5F"/>
    <w:rsid w:val="0038096A"/>
    <w:rsid w:val="00380A63"/>
    <w:rsid w:val="0038327C"/>
    <w:rsid w:val="00391E0E"/>
    <w:rsid w:val="00394B35"/>
    <w:rsid w:val="003A1732"/>
    <w:rsid w:val="003A190D"/>
    <w:rsid w:val="003A2246"/>
    <w:rsid w:val="003A2B3B"/>
    <w:rsid w:val="003A55DC"/>
    <w:rsid w:val="003A5DF6"/>
    <w:rsid w:val="003B2AA4"/>
    <w:rsid w:val="003B4160"/>
    <w:rsid w:val="003C2FC5"/>
    <w:rsid w:val="003C5DA9"/>
    <w:rsid w:val="003C617B"/>
    <w:rsid w:val="003D2117"/>
    <w:rsid w:val="003D2D87"/>
    <w:rsid w:val="003D5884"/>
    <w:rsid w:val="003E2667"/>
    <w:rsid w:val="003E6F9B"/>
    <w:rsid w:val="003F4B82"/>
    <w:rsid w:val="0040057F"/>
    <w:rsid w:val="004051B3"/>
    <w:rsid w:val="00422113"/>
    <w:rsid w:val="00430226"/>
    <w:rsid w:val="00432B86"/>
    <w:rsid w:val="0044138B"/>
    <w:rsid w:val="004420F3"/>
    <w:rsid w:val="0044217B"/>
    <w:rsid w:val="00442284"/>
    <w:rsid w:val="00446BB9"/>
    <w:rsid w:val="00450853"/>
    <w:rsid w:val="00451C71"/>
    <w:rsid w:val="00452C82"/>
    <w:rsid w:val="00454826"/>
    <w:rsid w:val="00461EB8"/>
    <w:rsid w:val="004623C1"/>
    <w:rsid w:val="00464728"/>
    <w:rsid w:val="00466805"/>
    <w:rsid w:val="004708BA"/>
    <w:rsid w:val="004711F4"/>
    <w:rsid w:val="0047295C"/>
    <w:rsid w:val="004758D7"/>
    <w:rsid w:val="00476F24"/>
    <w:rsid w:val="004830BA"/>
    <w:rsid w:val="00485390"/>
    <w:rsid w:val="00491A60"/>
    <w:rsid w:val="004966C2"/>
    <w:rsid w:val="0049750B"/>
    <w:rsid w:val="004A6DCB"/>
    <w:rsid w:val="004A7E57"/>
    <w:rsid w:val="004B2A55"/>
    <w:rsid w:val="004C0B91"/>
    <w:rsid w:val="004C317C"/>
    <w:rsid w:val="004D2B5B"/>
    <w:rsid w:val="004D3A19"/>
    <w:rsid w:val="004D6CF7"/>
    <w:rsid w:val="004E093F"/>
    <w:rsid w:val="004E26C6"/>
    <w:rsid w:val="004E6594"/>
    <w:rsid w:val="004F3F1B"/>
    <w:rsid w:val="004F7220"/>
    <w:rsid w:val="005005D0"/>
    <w:rsid w:val="00501982"/>
    <w:rsid w:val="00512F86"/>
    <w:rsid w:val="00513021"/>
    <w:rsid w:val="00515561"/>
    <w:rsid w:val="005205CA"/>
    <w:rsid w:val="005217C3"/>
    <w:rsid w:val="00522654"/>
    <w:rsid w:val="00523610"/>
    <w:rsid w:val="00526B3F"/>
    <w:rsid w:val="00526F33"/>
    <w:rsid w:val="005303FA"/>
    <w:rsid w:val="005312A0"/>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A42D7"/>
    <w:rsid w:val="005A5A6B"/>
    <w:rsid w:val="005A62B4"/>
    <w:rsid w:val="005A74F3"/>
    <w:rsid w:val="005B17A1"/>
    <w:rsid w:val="005B17E4"/>
    <w:rsid w:val="005B2839"/>
    <w:rsid w:val="005B532F"/>
    <w:rsid w:val="005B73B7"/>
    <w:rsid w:val="005C4341"/>
    <w:rsid w:val="005C5604"/>
    <w:rsid w:val="005C64F7"/>
    <w:rsid w:val="005D0832"/>
    <w:rsid w:val="005D41EE"/>
    <w:rsid w:val="005D463C"/>
    <w:rsid w:val="005F4D5B"/>
    <w:rsid w:val="005F510F"/>
    <w:rsid w:val="005F6197"/>
    <w:rsid w:val="005F6DE9"/>
    <w:rsid w:val="00602BAE"/>
    <w:rsid w:val="00603714"/>
    <w:rsid w:val="0060391F"/>
    <w:rsid w:val="00607012"/>
    <w:rsid w:val="00610CAA"/>
    <w:rsid w:val="006141F6"/>
    <w:rsid w:val="00631965"/>
    <w:rsid w:val="006357F1"/>
    <w:rsid w:val="00642390"/>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933F3"/>
    <w:rsid w:val="00694E30"/>
    <w:rsid w:val="0069509F"/>
    <w:rsid w:val="00697286"/>
    <w:rsid w:val="00697C6E"/>
    <w:rsid w:val="006A3FEE"/>
    <w:rsid w:val="006B1626"/>
    <w:rsid w:val="006B26B8"/>
    <w:rsid w:val="006B2873"/>
    <w:rsid w:val="006B2B08"/>
    <w:rsid w:val="006B5D5E"/>
    <w:rsid w:val="006B6CC8"/>
    <w:rsid w:val="006B7D4F"/>
    <w:rsid w:val="006E1224"/>
    <w:rsid w:val="006E4DF0"/>
    <w:rsid w:val="006E68C1"/>
    <w:rsid w:val="006E6CC9"/>
    <w:rsid w:val="00700061"/>
    <w:rsid w:val="007005E6"/>
    <w:rsid w:val="00701A1A"/>
    <w:rsid w:val="007027BE"/>
    <w:rsid w:val="00715AE0"/>
    <w:rsid w:val="00716701"/>
    <w:rsid w:val="00721E66"/>
    <w:rsid w:val="007277B1"/>
    <w:rsid w:val="00727FF2"/>
    <w:rsid w:val="00730268"/>
    <w:rsid w:val="00733219"/>
    <w:rsid w:val="00734A23"/>
    <w:rsid w:val="007350E6"/>
    <w:rsid w:val="00736F92"/>
    <w:rsid w:val="00746E13"/>
    <w:rsid w:val="00750E27"/>
    <w:rsid w:val="0075335B"/>
    <w:rsid w:val="00753BCD"/>
    <w:rsid w:val="00766DCB"/>
    <w:rsid w:val="00766EFC"/>
    <w:rsid w:val="007703DB"/>
    <w:rsid w:val="00772457"/>
    <w:rsid w:val="00776049"/>
    <w:rsid w:val="00780241"/>
    <w:rsid w:val="00781D74"/>
    <w:rsid w:val="00782F3A"/>
    <w:rsid w:val="007848B0"/>
    <w:rsid w:val="007954C8"/>
    <w:rsid w:val="00795A0C"/>
    <w:rsid w:val="007966F8"/>
    <w:rsid w:val="007A396F"/>
    <w:rsid w:val="007A410F"/>
    <w:rsid w:val="007A670B"/>
    <w:rsid w:val="007A7899"/>
    <w:rsid w:val="007B536F"/>
    <w:rsid w:val="007B6DCF"/>
    <w:rsid w:val="007B6F6D"/>
    <w:rsid w:val="007C02EE"/>
    <w:rsid w:val="007C3C42"/>
    <w:rsid w:val="007C3CA7"/>
    <w:rsid w:val="007C6825"/>
    <w:rsid w:val="007D19B5"/>
    <w:rsid w:val="007D4D74"/>
    <w:rsid w:val="007D6ADA"/>
    <w:rsid w:val="007D73CD"/>
    <w:rsid w:val="007E107F"/>
    <w:rsid w:val="007F221E"/>
    <w:rsid w:val="007F3363"/>
    <w:rsid w:val="007F5A96"/>
    <w:rsid w:val="008003CE"/>
    <w:rsid w:val="008006A7"/>
    <w:rsid w:val="00802A8D"/>
    <w:rsid w:val="00806476"/>
    <w:rsid w:val="00814B52"/>
    <w:rsid w:val="008157C8"/>
    <w:rsid w:val="00815CC9"/>
    <w:rsid w:val="008210CF"/>
    <w:rsid w:val="0082165D"/>
    <w:rsid w:val="008236BE"/>
    <w:rsid w:val="008242DF"/>
    <w:rsid w:val="00824D99"/>
    <w:rsid w:val="00827048"/>
    <w:rsid w:val="008308A6"/>
    <w:rsid w:val="00830D7D"/>
    <w:rsid w:val="0083223A"/>
    <w:rsid w:val="00832A0B"/>
    <w:rsid w:val="00833316"/>
    <w:rsid w:val="00835F8C"/>
    <w:rsid w:val="00842465"/>
    <w:rsid w:val="00843037"/>
    <w:rsid w:val="0084527A"/>
    <w:rsid w:val="00845D32"/>
    <w:rsid w:val="008510C7"/>
    <w:rsid w:val="00851E88"/>
    <w:rsid w:val="00856EA9"/>
    <w:rsid w:val="00866A03"/>
    <w:rsid w:val="00873BBB"/>
    <w:rsid w:val="00876880"/>
    <w:rsid w:val="0087765E"/>
    <w:rsid w:val="00890089"/>
    <w:rsid w:val="008928C1"/>
    <w:rsid w:val="00897E0F"/>
    <w:rsid w:val="008A343E"/>
    <w:rsid w:val="008A4C5D"/>
    <w:rsid w:val="008B0F35"/>
    <w:rsid w:val="008B12C8"/>
    <w:rsid w:val="008B61FC"/>
    <w:rsid w:val="008C5DF8"/>
    <w:rsid w:val="008D0D61"/>
    <w:rsid w:val="008D4A1B"/>
    <w:rsid w:val="008D4D5D"/>
    <w:rsid w:val="008E1C6A"/>
    <w:rsid w:val="008E1F96"/>
    <w:rsid w:val="008F0CC9"/>
    <w:rsid w:val="008F1566"/>
    <w:rsid w:val="008F23E5"/>
    <w:rsid w:val="008F6C73"/>
    <w:rsid w:val="008F71AE"/>
    <w:rsid w:val="00910CFA"/>
    <w:rsid w:val="009127AE"/>
    <w:rsid w:val="00913EC3"/>
    <w:rsid w:val="009143C1"/>
    <w:rsid w:val="0091474D"/>
    <w:rsid w:val="00914950"/>
    <w:rsid w:val="0091498A"/>
    <w:rsid w:val="00916054"/>
    <w:rsid w:val="00917D19"/>
    <w:rsid w:val="00921F40"/>
    <w:rsid w:val="00925198"/>
    <w:rsid w:val="0092658E"/>
    <w:rsid w:val="0092661E"/>
    <w:rsid w:val="00927093"/>
    <w:rsid w:val="0092785E"/>
    <w:rsid w:val="009300A8"/>
    <w:rsid w:val="009344D7"/>
    <w:rsid w:val="0093567C"/>
    <w:rsid w:val="00937824"/>
    <w:rsid w:val="00942383"/>
    <w:rsid w:val="00942D6E"/>
    <w:rsid w:val="0094697A"/>
    <w:rsid w:val="00960293"/>
    <w:rsid w:val="00961D7D"/>
    <w:rsid w:val="0096357D"/>
    <w:rsid w:val="00965ABD"/>
    <w:rsid w:val="009670D9"/>
    <w:rsid w:val="00967582"/>
    <w:rsid w:val="00967A5D"/>
    <w:rsid w:val="00974983"/>
    <w:rsid w:val="009759CF"/>
    <w:rsid w:val="0098219B"/>
    <w:rsid w:val="009845E8"/>
    <w:rsid w:val="009873C3"/>
    <w:rsid w:val="009957A6"/>
    <w:rsid w:val="00996DF7"/>
    <w:rsid w:val="00997C5C"/>
    <w:rsid w:val="00997D85"/>
    <w:rsid w:val="00997DBA"/>
    <w:rsid w:val="009A3BF6"/>
    <w:rsid w:val="009A66DA"/>
    <w:rsid w:val="009B0D92"/>
    <w:rsid w:val="009B41A9"/>
    <w:rsid w:val="009B66CF"/>
    <w:rsid w:val="009B6894"/>
    <w:rsid w:val="009C1667"/>
    <w:rsid w:val="009C1669"/>
    <w:rsid w:val="009C24BC"/>
    <w:rsid w:val="009D3242"/>
    <w:rsid w:val="009D4546"/>
    <w:rsid w:val="009E284B"/>
    <w:rsid w:val="009E2E2B"/>
    <w:rsid w:val="009E2EA6"/>
    <w:rsid w:val="009E4938"/>
    <w:rsid w:val="009E6FF9"/>
    <w:rsid w:val="009F17D5"/>
    <w:rsid w:val="009F56F0"/>
    <w:rsid w:val="00A036D9"/>
    <w:rsid w:val="00A050A8"/>
    <w:rsid w:val="00A119D3"/>
    <w:rsid w:val="00A11EC7"/>
    <w:rsid w:val="00A13A54"/>
    <w:rsid w:val="00A16022"/>
    <w:rsid w:val="00A23A52"/>
    <w:rsid w:val="00A241C0"/>
    <w:rsid w:val="00A24F2D"/>
    <w:rsid w:val="00A33072"/>
    <w:rsid w:val="00A3648D"/>
    <w:rsid w:val="00A4063E"/>
    <w:rsid w:val="00A43CE3"/>
    <w:rsid w:val="00A45B81"/>
    <w:rsid w:val="00A46D21"/>
    <w:rsid w:val="00A519DA"/>
    <w:rsid w:val="00A52A2B"/>
    <w:rsid w:val="00A607D5"/>
    <w:rsid w:val="00A61E37"/>
    <w:rsid w:val="00A740B0"/>
    <w:rsid w:val="00A7472C"/>
    <w:rsid w:val="00A77D5E"/>
    <w:rsid w:val="00A80F68"/>
    <w:rsid w:val="00A829DF"/>
    <w:rsid w:val="00A86FAF"/>
    <w:rsid w:val="00A93727"/>
    <w:rsid w:val="00AA7BB7"/>
    <w:rsid w:val="00AB1022"/>
    <w:rsid w:val="00AB2C49"/>
    <w:rsid w:val="00AB4169"/>
    <w:rsid w:val="00AB47E8"/>
    <w:rsid w:val="00AB5C35"/>
    <w:rsid w:val="00AD128E"/>
    <w:rsid w:val="00AD2828"/>
    <w:rsid w:val="00AD3968"/>
    <w:rsid w:val="00AD39B1"/>
    <w:rsid w:val="00AD3D93"/>
    <w:rsid w:val="00AD41B5"/>
    <w:rsid w:val="00AE44C1"/>
    <w:rsid w:val="00AE7D36"/>
    <w:rsid w:val="00AF245A"/>
    <w:rsid w:val="00B00F3F"/>
    <w:rsid w:val="00B04684"/>
    <w:rsid w:val="00B07BCC"/>
    <w:rsid w:val="00B13626"/>
    <w:rsid w:val="00B13FBA"/>
    <w:rsid w:val="00B14A85"/>
    <w:rsid w:val="00B21D11"/>
    <w:rsid w:val="00B26905"/>
    <w:rsid w:val="00B31CFB"/>
    <w:rsid w:val="00B31F4E"/>
    <w:rsid w:val="00B3218A"/>
    <w:rsid w:val="00B3288F"/>
    <w:rsid w:val="00B337D0"/>
    <w:rsid w:val="00B346FD"/>
    <w:rsid w:val="00B37CAC"/>
    <w:rsid w:val="00B45840"/>
    <w:rsid w:val="00B462F2"/>
    <w:rsid w:val="00B512FF"/>
    <w:rsid w:val="00B527D2"/>
    <w:rsid w:val="00B52DD9"/>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252B"/>
    <w:rsid w:val="00BC4C56"/>
    <w:rsid w:val="00BC7AC8"/>
    <w:rsid w:val="00BD0041"/>
    <w:rsid w:val="00BD06DB"/>
    <w:rsid w:val="00BD09D0"/>
    <w:rsid w:val="00BD144D"/>
    <w:rsid w:val="00BD1610"/>
    <w:rsid w:val="00BD2D57"/>
    <w:rsid w:val="00BD3F17"/>
    <w:rsid w:val="00BD40AD"/>
    <w:rsid w:val="00BD514A"/>
    <w:rsid w:val="00BD5D1F"/>
    <w:rsid w:val="00BD5D4D"/>
    <w:rsid w:val="00BD78D1"/>
    <w:rsid w:val="00BD7F01"/>
    <w:rsid w:val="00BE2037"/>
    <w:rsid w:val="00BE7136"/>
    <w:rsid w:val="00BF300F"/>
    <w:rsid w:val="00BF303A"/>
    <w:rsid w:val="00BF6216"/>
    <w:rsid w:val="00BF7351"/>
    <w:rsid w:val="00BF7993"/>
    <w:rsid w:val="00C013A7"/>
    <w:rsid w:val="00C12DF2"/>
    <w:rsid w:val="00C133EC"/>
    <w:rsid w:val="00C227B7"/>
    <w:rsid w:val="00C24938"/>
    <w:rsid w:val="00C31556"/>
    <w:rsid w:val="00C33625"/>
    <w:rsid w:val="00C33836"/>
    <w:rsid w:val="00C354AC"/>
    <w:rsid w:val="00C36D6C"/>
    <w:rsid w:val="00C370A6"/>
    <w:rsid w:val="00C37877"/>
    <w:rsid w:val="00C37C31"/>
    <w:rsid w:val="00C46F96"/>
    <w:rsid w:val="00C61B8F"/>
    <w:rsid w:val="00C640C4"/>
    <w:rsid w:val="00C7044B"/>
    <w:rsid w:val="00C72B6A"/>
    <w:rsid w:val="00C83205"/>
    <w:rsid w:val="00C874BB"/>
    <w:rsid w:val="00C90408"/>
    <w:rsid w:val="00C90B89"/>
    <w:rsid w:val="00C91ACF"/>
    <w:rsid w:val="00C91B56"/>
    <w:rsid w:val="00C96676"/>
    <w:rsid w:val="00CA0DAF"/>
    <w:rsid w:val="00CB06EE"/>
    <w:rsid w:val="00CB5058"/>
    <w:rsid w:val="00CB5C0D"/>
    <w:rsid w:val="00CC3AC5"/>
    <w:rsid w:val="00CC4112"/>
    <w:rsid w:val="00CC674A"/>
    <w:rsid w:val="00CC6845"/>
    <w:rsid w:val="00CD0E6E"/>
    <w:rsid w:val="00CD242B"/>
    <w:rsid w:val="00CD6E59"/>
    <w:rsid w:val="00CE029E"/>
    <w:rsid w:val="00CE7F67"/>
    <w:rsid w:val="00CF009B"/>
    <w:rsid w:val="00CF3255"/>
    <w:rsid w:val="00CF3FC4"/>
    <w:rsid w:val="00CF5ADA"/>
    <w:rsid w:val="00CF6AE0"/>
    <w:rsid w:val="00CF7389"/>
    <w:rsid w:val="00D043CE"/>
    <w:rsid w:val="00D04F6B"/>
    <w:rsid w:val="00D1480B"/>
    <w:rsid w:val="00D150A1"/>
    <w:rsid w:val="00D17297"/>
    <w:rsid w:val="00D31FF6"/>
    <w:rsid w:val="00D33EDA"/>
    <w:rsid w:val="00D34F18"/>
    <w:rsid w:val="00D35EB8"/>
    <w:rsid w:val="00D42633"/>
    <w:rsid w:val="00D52250"/>
    <w:rsid w:val="00D5226D"/>
    <w:rsid w:val="00D53A4D"/>
    <w:rsid w:val="00D55ADF"/>
    <w:rsid w:val="00D566C4"/>
    <w:rsid w:val="00D566DC"/>
    <w:rsid w:val="00D56C4B"/>
    <w:rsid w:val="00D61BED"/>
    <w:rsid w:val="00D64E00"/>
    <w:rsid w:val="00D67364"/>
    <w:rsid w:val="00D70689"/>
    <w:rsid w:val="00D73011"/>
    <w:rsid w:val="00D736F2"/>
    <w:rsid w:val="00D75B16"/>
    <w:rsid w:val="00D76739"/>
    <w:rsid w:val="00D776F7"/>
    <w:rsid w:val="00D77DF1"/>
    <w:rsid w:val="00D83D78"/>
    <w:rsid w:val="00D867C8"/>
    <w:rsid w:val="00D930BB"/>
    <w:rsid w:val="00DA148A"/>
    <w:rsid w:val="00DA5E43"/>
    <w:rsid w:val="00DA6A92"/>
    <w:rsid w:val="00DB014F"/>
    <w:rsid w:val="00DB0C3A"/>
    <w:rsid w:val="00DB3536"/>
    <w:rsid w:val="00DB4DAC"/>
    <w:rsid w:val="00DB5085"/>
    <w:rsid w:val="00DC1A8E"/>
    <w:rsid w:val="00DC2905"/>
    <w:rsid w:val="00DD543B"/>
    <w:rsid w:val="00DD6079"/>
    <w:rsid w:val="00DD791F"/>
    <w:rsid w:val="00DE663B"/>
    <w:rsid w:val="00DE7350"/>
    <w:rsid w:val="00DF13ED"/>
    <w:rsid w:val="00E0155E"/>
    <w:rsid w:val="00E04940"/>
    <w:rsid w:val="00E10E3D"/>
    <w:rsid w:val="00E150C9"/>
    <w:rsid w:val="00E20484"/>
    <w:rsid w:val="00E20E22"/>
    <w:rsid w:val="00E22A97"/>
    <w:rsid w:val="00E2454F"/>
    <w:rsid w:val="00E26592"/>
    <w:rsid w:val="00E278C8"/>
    <w:rsid w:val="00E342AA"/>
    <w:rsid w:val="00E35009"/>
    <w:rsid w:val="00E4087F"/>
    <w:rsid w:val="00E46261"/>
    <w:rsid w:val="00E476AC"/>
    <w:rsid w:val="00E50BB6"/>
    <w:rsid w:val="00E61CC0"/>
    <w:rsid w:val="00E63EF4"/>
    <w:rsid w:val="00E664D5"/>
    <w:rsid w:val="00E66636"/>
    <w:rsid w:val="00E70433"/>
    <w:rsid w:val="00E740A3"/>
    <w:rsid w:val="00E748C2"/>
    <w:rsid w:val="00E751D5"/>
    <w:rsid w:val="00E8234C"/>
    <w:rsid w:val="00E83B0D"/>
    <w:rsid w:val="00E94556"/>
    <w:rsid w:val="00E95921"/>
    <w:rsid w:val="00E9666D"/>
    <w:rsid w:val="00E97583"/>
    <w:rsid w:val="00E97F2C"/>
    <w:rsid w:val="00EA3DB6"/>
    <w:rsid w:val="00EA5618"/>
    <w:rsid w:val="00EB0133"/>
    <w:rsid w:val="00EB13F2"/>
    <w:rsid w:val="00EB371D"/>
    <w:rsid w:val="00EB47B1"/>
    <w:rsid w:val="00EB6511"/>
    <w:rsid w:val="00EC1B85"/>
    <w:rsid w:val="00EC3E51"/>
    <w:rsid w:val="00EC4D7C"/>
    <w:rsid w:val="00EC5526"/>
    <w:rsid w:val="00EC5A63"/>
    <w:rsid w:val="00EC7316"/>
    <w:rsid w:val="00ED224C"/>
    <w:rsid w:val="00F00C0E"/>
    <w:rsid w:val="00F02217"/>
    <w:rsid w:val="00F04633"/>
    <w:rsid w:val="00F05D85"/>
    <w:rsid w:val="00F10DD6"/>
    <w:rsid w:val="00F11490"/>
    <w:rsid w:val="00F13F4C"/>
    <w:rsid w:val="00F20468"/>
    <w:rsid w:val="00F2114C"/>
    <w:rsid w:val="00F238B7"/>
    <w:rsid w:val="00F24DFC"/>
    <w:rsid w:val="00F4062E"/>
    <w:rsid w:val="00F45E58"/>
    <w:rsid w:val="00F5133A"/>
    <w:rsid w:val="00F52056"/>
    <w:rsid w:val="00F542C0"/>
    <w:rsid w:val="00F54328"/>
    <w:rsid w:val="00F56EE0"/>
    <w:rsid w:val="00F60B5D"/>
    <w:rsid w:val="00F63EFC"/>
    <w:rsid w:val="00F64B47"/>
    <w:rsid w:val="00F65754"/>
    <w:rsid w:val="00F660A1"/>
    <w:rsid w:val="00F66BA9"/>
    <w:rsid w:val="00F74B9D"/>
    <w:rsid w:val="00F80145"/>
    <w:rsid w:val="00F83130"/>
    <w:rsid w:val="00F8617F"/>
    <w:rsid w:val="00F87747"/>
    <w:rsid w:val="00F9105B"/>
    <w:rsid w:val="00F9199D"/>
    <w:rsid w:val="00F92368"/>
    <w:rsid w:val="00F946C3"/>
    <w:rsid w:val="00F95821"/>
    <w:rsid w:val="00FA10DD"/>
    <w:rsid w:val="00FA67BF"/>
    <w:rsid w:val="00FA6853"/>
    <w:rsid w:val="00FB37D3"/>
    <w:rsid w:val="00FC226B"/>
    <w:rsid w:val="00FC2AC4"/>
    <w:rsid w:val="00FD61BB"/>
    <w:rsid w:val="00FD7AFB"/>
    <w:rsid w:val="00FE18F3"/>
    <w:rsid w:val="00FE2D80"/>
    <w:rsid w:val="00FF1434"/>
    <w:rsid w:val="00FF180C"/>
    <w:rsid w:val="00FF6E76"/>
    <w:rsid w:val="00FF728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082C4-A708-4252-A5EA-24A10605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8</Pages>
  <Words>933</Words>
  <Characters>5322</Characters>
  <Application>Microsoft Office Word</Application>
  <DocSecurity>0</DocSecurity>
  <Lines>44</Lines>
  <Paragraphs>12</Paragraphs>
  <ScaleCrop>false</ScaleCrop>
  <Company>Innolux Corp.</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345</cp:revision>
  <cp:lastPrinted>2019-11-28T23:54:00Z</cp:lastPrinted>
  <dcterms:created xsi:type="dcterms:W3CDTF">2020-06-12T05:03:00Z</dcterms:created>
  <dcterms:modified xsi:type="dcterms:W3CDTF">2020-06-18T09:32:00Z</dcterms:modified>
</cp:coreProperties>
</file>