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73" w:rsidRPr="00E91F5B" w:rsidRDefault="00F32A73" w:rsidP="009515CF">
      <w:pPr>
        <w:pStyle w:val="a9"/>
        <w:numPr>
          <w:ilvl w:val="0"/>
          <w:numId w:val="1"/>
        </w:numPr>
        <w:ind w:leftChars="0" w:left="482" w:hanging="482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前言</w:t>
      </w:r>
    </w:p>
    <w:p w:rsidR="00F32A73" w:rsidRPr="00E91F5B" w:rsidRDefault="004C6E65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</w:t>
      </w:r>
      <w:r w:rsidR="00F32A73" w:rsidRPr="00E91F5B">
        <w:rPr>
          <w:rFonts w:asciiTheme="minorEastAsia" w:eastAsiaTheme="minorEastAsia" w:hAnsiTheme="minorEastAsia"/>
        </w:rPr>
        <w:t>動機</w:t>
      </w:r>
    </w:p>
    <w:p w:rsidR="004C6E65" w:rsidRPr="00E91F5B" w:rsidRDefault="003273E4" w:rsidP="004C6E65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  <w:color w:val="FF0000"/>
        </w:rPr>
      </w:pPr>
      <w:r w:rsidRPr="00E91F5B">
        <w:rPr>
          <w:rFonts w:asciiTheme="minorEastAsia" w:eastAsiaTheme="minorEastAsia" w:hAnsiTheme="minorEastAsia"/>
        </w:rPr>
        <w:t>登革熱目前為法定的第二類傳染病，迄今還沒有既安全又</w:t>
      </w:r>
      <w:r w:rsidR="000D009A" w:rsidRPr="00E91F5B">
        <w:rPr>
          <w:rFonts w:asciiTheme="minorEastAsia" w:eastAsiaTheme="minorEastAsia" w:hAnsiTheme="minorEastAsia"/>
          <w:color w:val="000000" w:themeColor="text1"/>
        </w:rPr>
        <w:t>可</w:t>
      </w:r>
      <w:r w:rsidR="00D31DAF">
        <w:rPr>
          <w:rFonts w:asciiTheme="minorEastAsia" w:eastAsiaTheme="minorEastAsia" w:hAnsiTheme="minorEastAsia"/>
        </w:rPr>
        <w:t>完整對抗四種血清型病毒的疫苗</w:t>
      </w:r>
      <w:r w:rsidR="00C51551">
        <w:rPr>
          <w:rFonts w:asciiTheme="minorEastAsia" w:eastAsiaTheme="minorEastAsia" w:hAnsiTheme="minorEastAsia" w:hint="eastAsia"/>
        </w:rPr>
        <w:t>問世</w:t>
      </w:r>
      <w:r w:rsidR="00F32A73" w:rsidRPr="00E91F5B">
        <w:rPr>
          <w:rFonts w:asciiTheme="minorEastAsia" w:eastAsiaTheme="minorEastAsia" w:hAnsiTheme="minorEastAsia"/>
        </w:rPr>
        <w:t>。臨床上，典型登革熱後的致死率雖小於</w:t>
      </w:r>
      <w:r w:rsidR="00F32A73" w:rsidRPr="00E91F5B">
        <w:rPr>
          <w:rFonts w:eastAsiaTheme="minorEastAsia"/>
        </w:rPr>
        <w:t>1%</w:t>
      </w:r>
      <w:r w:rsidR="004C6E65" w:rsidRPr="00E91F5B">
        <w:rPr>
          <w:rFonts w:asciiTheme="minorEastAsia" w:eastAsiaTheme="minorEastAsia" w:hAnsiTheme="minorEastAsia"/>
        </w:rPr>
        <w:t>，但若感染出血型登革熱</w:t>
      </w:r>
      <w:r w:rsidR="0058160D">
        <w:rPr>
          <w:rFonts w:asciiTheme="minorEastAsia" w:eastAsiaTheme="minorEastAsia" w:hAnsiTheme="minorEastAsia" w:hint="eastAsia"/>
        </w:rPr>
        <w:t>且</w:t>
      </w:r>
      <w:r w:rsidR="004C6E65" w:rsidRPr="00E91F5B">
        <w:rPr>
          <w:rFonts w:asciiTheme="minorEastAsia" w:eastAsiaTheme="minorEastAsia" w:hAnsiTheme="minorEastAsia"/>
        </w:rPr>
        <w:t>未獲即時醫療的情況下，致死率仍可達</w:t>
      </w:r>
      <w:r w:rsidR="00F32A73" w:rsidRPr="00014AE4">
        <w:rPr>
          <w:rFonts w:asciiTheme="minorHAnsi" w:eastAsiaTheme="minorEastAsia" w:hAnsiTheme="minorHAnsi" w:cstheme="minorHAnsi"/>
        </w:rPr>
        <w:t>1</w:t>
      </w:r>
      <w:r w:rsidR="00034010" w:rsidRPr="00014AE4">
        <w:rPr>
          <w:rFonts w:asciiTheme="minorHAnsi" w:eastAsiaTheme="minorEastAsia" w:hAnsiTheme="minorHAnsi" w:cstheme="minorHAnsi"/>
        </w:rPr>
        <w:t>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C205C6" w:rsidRPr="00662055">
        <w:rPr>
          <w:rFonts w:asciiTheme="minorHAnsi" w:hAnsiTheme="minorHAnsi" w:cstheme="minorHAnsi"/>
        </w:rPr>
        <w:t>~</w:t>
      </w:r>
      <w:r w:rsidR="00F32A73" w:rsidRPr="00014AE4">
        <w:rPr>
          <w:rFonts w:asciiTheme="minorHAnsi" w:eastAsiaTheme="minorEastAsia" w:hAnsiTheme="minorHAnsi" w:cstheme="minorHAnsi"/>
        </w:rPr>
        <w:t>50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E91F5B">
        <w:rPr>
          <w:rFonts w:eastAsiaTheme="minorEastAsia"/>
        </w:rPr>
        <w:t>。</w:t>
      </w:r>
      <w:r w:rsidR="00F32A73" w:rsidRPr="00E91F5B">
        <w:rPr>
          <w:rFonts w:asciiTheme="minorEastAsia" w:eastAsiaTheme="minorEastAsia" w:hAnsiTheme="minorEastAsia"/>
        </w:rPr>
        <w:t>由於登革熱病毒是經由蚊子傳染給人類，因此透過病媒蚊的防治便成為抑止登革熱發生及傳播的主要手段之</w:t>
      </w:r>
      <w:proofErr w:type="gramStart"/>
      <w:r w:rsidR="00F32A73" w:rsidRPr="00E91F5B">
        <w:rPr>
          <w:rFonts w:asciiTheme="minorEastAsia" w:eastAsiaTheme="minorEastAsia" w:hAnsiTheme="minorEastAsia"/>
        </w:rPr>
        <w:t>一</w:t>
      </w:r>
      <w:proofErr w:type="gramEnd"/>
      <w:r w:rsidR="00F32A73" w:rsidRPr="00E91F5B">
        <w:rPr>
          <w:rFonts w:asciiTheme="minorEastAsia" w:eastAsiaTheme="minorEastAsia" w:hAnsiTheme="minorEastAsia"/>
        </w:rPr>
        <w:t>。</w:t>
      </w:r>
    </w:p>
    <w:p w:rsidR="00B2279B" w:rsidRPr="00E91F5B" w:rsidRDefault="004F11A0" w:rsidP="003273E4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身為台南人，在</w:t>
      </w:r>
      <w:r w:rsidR="00AD2C96" w:rsidRPr="00E91F5B">
        <w:rPr>
          <w:rFonts w:asciiTheme="minorHAnsi" w:eastAsiaTheme="minorEastAsia" w:hAnsiTheme="minorHAnsi" w:cstheme="minorHAnsi"/>
        </w:rPr>
        <w:t>2015</w:t>
      </w:r>
      <w:r w:rsidR="00B2279B" w:rsidRPr="00E91F5B">
        <w:rPr>
          <w:rFonts w:asciiTheme="minorEastAsia" w:eastAsiaTheme="minorEastAsia" w:hAnsiTheme="minorEastAsia"/>
        </w:rPr>
        <w:t>年台南發生大規模的登革熱傳染事件</w:t>
      </w:r>
      <w:r w:rsidR="00A452E1" w:rsidRPr="00E91F5B">
        <w:rPr>
          <w:rFonts w:asciiTheme="minorEastAsia" w:eastAsiaTheme="minorEastAsia" w:hAnsiTheme="minorEastAsia"/>
        </w:rPr>
        <w:t>時</w:t>
      </w:r>
      <w:r w:rsidR="007D3F80" w:rsidRPr="00E91F5B">
        <w:rPr>
          <w:rFonts w:asciiTheme="minorEastAsia" w:eastAsiaTheme="minorEastAsia" w:hAnsiTheme="minorEastAsia"/>
        </w:rPr>
        <w:t>，</w:t>
      </w:r>
      <w:r w:rsidR="005E07F7" w:rsidRPr="00E91F5B">
        <w:rPr>
          <w:rFonts w:asciiTheme="minorEastAsia" w:eastAsiaTheme="minorEastAsia" w:hAnsiTheme="minorEastAsia"/>
        </w:rPr>
        <w:t>全市確診病例</w:t>
      </w:r>
      <w:r w:rsidR="005E07F7" w:rsidRPr="00E91F5B">
        <w:rPr>
          <w:rFonts w:eastAsiaTheme="minorEastAsia"/>
        </w:rPr>
        <w:t>21,942</w:t>
      </w:r>
      <w:r w:rsidR="005E07F7" w:rsidRPr="00E91F5B">
        <w:rPr>
          <w:rFonts w:asciiTheme="minorEastAsia" w:eastAsiaTheme="minorEastAsia" w:hAnsiTheme="minorEastAsia"/>
        </w:rPr>
        <w:t>人且造成百人以上死亡</w:t>
      </w:r>
      <w:r w:rsidR="005A7A55">
        <w:rPr>
          <w:rFonts w:asciiTheme="minorEastAsia" w:eastAsiaTheme="minorEastAsia" w:hAnsiTheme="minorEastAsia" w:hint="eastAsia"/>
        </w:rPr>
        <w:t>（中央通訊社</w:t>
      </w:r>
      <w:r w:rsidR="005A7A55" w:rsidRPr="00E91F5B">
        <w:rPr>
          <w:rFonts w:asciiTheme="minorEastAsia" w:eastAsiaTheme="minorEastAsia" w:hAnsiTheme="minorEastAsia"/>
        </w:rPr>
        <w:t>，</w:t>
      </w:r>
      <w:r w:rsidR="005A7A55" w:rsidRPr="005A7A55">
        <w:rPr>
          <w:rFonts w:asciiTheme="minorHAnsi" w:eastAsiaTheme="minorEastAsia" w:hAnsiTheme="minorHAnsi" w:cstheme="minorHAnsi"/>
        </w:rPr>
        <w:t>2015</w:t>
      </w:r>
      <w:r w:rsidR="005A7A55">
        <w:rPr>
          <w:rFonts w:asciiTheme="minorEastAsia" w:eastAsiaTheme="minorEastAsia" w:hAnsiTheme="minorEastAsia" w:hint="eastAsia"/>
        </w:rPr>
        <w:t>）</w:t>
      </w:r>
      <w:r w:rsidR="005E07F7" w:rsidRPr="00E91F5B">
        <w:rPr>
          <w:rFonts w:asciiTheme="minorEastAsia" w:eastAsiaTheme="minorEastAsia" w:hAnsiTheme="minorEastAsia"/>
        </w:rPr>
        <w:t>。當時</w:t>
      </w:r>
      <w:r w:rsidR="007D3F80" w:rsidRPr="00E91F5B">
        <w:rPr>
          <w:rFonts w:asciiTheme="minorEastAsia" w:eastAsiaTheme="minorEastAsia" w:hAnsiTheme="minorEastAsia"/>
        </w:rPr>
        <w:t>市府</w:t>
      </w:r>
      <w:r w:rsidR="00A452E1" w:rsidRPr="00E91F5B">
        <w:rPr>
          <w:rFonts w:asciiTheme="minorEastAsia" w:eastAsiaTheme="minorEastAsia" w:hAnsiTheme="minorEastAsia"/>
        </w:rPr>
        <w:t>也</w:t>
      </w:r>
      <w:r w:rsidR="00BF0440" w:rsidRPr="00E91F5B">
        <w:rPr>
          <w:rFonts w:asciiTheme="minorEastAsia" w:eastAsiaTheme="minorEastAsia" w:hAnsiTheme="minorEastAsia"/>
        </w:rPr>
        <w:t>曾</w:t>
      </w:r>
      <w:r w:rsidR="00AD2C96" w:rsidRPr="00E91F5B">
        <w:rPr>
          <w:rFonts w:asciiTheme="minorEastAsia" w:eastAsiaTheme="minorEastAsia" w:hAnsiTheme="minorEastAsia"/>
        </w:rPr>
        <w:t>調派</w:t>
      </w:r>
      <w:proofErr w:type="gramStart"/>
      <w:r w:rsidR="00A452E1" w:rsidRPr="00E91F5B">
        <w:rPr>
          <w:rFonts w:asciiTheme="minorEastAsia" w:eastAsiaTheme="minorEastAsia" w:hAnsiTheme="minorEastAsia"/>
        </w:rPr>
        <w:t>化學兵到</w:t>
      </w:r>
      <w:r w:rsidR="000138FD" w:rsidRPr="00E91F5B">
        <w:rPr>
          <w:rFonts w:asciiTheme="minorEastAsia" w:eastAsiaTheme="minorEastAsia" w:hAnsiTheme="minorEastAsia"/>
        </w:rPr>
        <w:t>筆者</w:t>
      </w:r>
      <w:proofErr w:type="gramEnd"/>
      <w:r w:rsidR="00A452E1" w:rsidRPr="00E91F5B">
        <w:rPr>
          <w:rFonts w:asciiTheme="minorEastAsia" w:eastAsiaTheme="minorEastAsia" w:hAnsiTheme="minorEastAsia"/>
        </w:rPr>
        <w:t>家中進行防疫</w:t>
      </w:r>
      <w:proofErr w:type="gramStart"/>
      <w:r w:rsidR="00A452E1" w:rsidRPr="00E91F5B">
        <w:rPr>
          <w:rFonts w:asciiTheme="minorEastAsia" w:eastAsiaTheme="minorEastAsia" w:hAnsiTheme="minorEastAsia"/>
        </w:rPr>
        <w:t>孳</w:t>
      </w:r>
      <w:proofErr w:type="gramEnd"/>
      <w:r w:rsidR="00A452E1" w:rsidRPr="00E91F5B">
        <w:rPr>
          <w:rFonts w:asciiTheme="minorEastAsia" w:eastAsiaTheme="minorEastAsia" w:hAnsiTheme="minorEastAsia"/>
        </w:rPr>
        <w:t>清作業，</w:t>
      </w:r>
      <w:r w:rsidR="00FF7639" w:rsidRPr="00E91F5B">
        <w:rPr>
          <w:rFonts w:asciiTheme="minorEastAsia" w:eastAsiaTheme="minorEastAsia" w:hAnsiTheme="minorEastAsia"/>
        </w:rPr>
        <w:t>所以</w:t>
      </w:r>
      <w:r w:rsidRPr="00E91F5B">
        <w:rPr>
          <w:rFonts w:asciiTheme="minorEastAsia" w:eastAsiaTheme="minorEastAsia" w:hAnsiTheme="minorEastAsia"/>
        </w:rPr>
        <w:t>我想透過登革熱病媒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指數關係探討，了解如何更有效率進行病媒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調查並進行相關防疫措施，以達降低疾病發生機率及規模</w:t>
      </w:r>
      <w:r w:rsidR="00FF7639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研究目的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了解病媒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密度指數（住宅指數、容器指數、布氏指數）及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指數（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陽性率、</w:t>
      </w:r>
      <w:proofErr w:type="gramStart"/>
      <w:r w:rsidRPr="00E91F5B">
        <w:rPr>
          <w:rFonts w:asciiTheme="minorEastAsia" w:eastAsiaTheme="minorEastAsia" w:hAnsiTheme="minorEastAsia"/>
        </w:rPr>
        <w:t>誘卵桶總卵粒數</w:t>
      </w:r>
      <w:proofErr w:type="gramEnd"/>
      <w:r w:rsidRPr="00E91F5B">
        <w:rPr>
          <w:rFonts w:asciiTheme="minorEastAsia" w:eastAsiaTheme="minorEastAsia" w:hAnsiTheme="minorEastAsia"/>
        </w:rPr>
        <w:t>）</w:t>
      </w:r>
      <w:r w:rsidR="006077D4" w:rsidRPr="00E91F5B">
        <w:rPr>
          <w:rFonts w:asciiTheme="minorEastAsia" w:eastAsiaTheme="minorEastAsia" w:hAnsiTheme="minorEastAsia"/>
        </w:rPr>
        <w:t>的</w:t>
      </w:r>
      <w:r w:rsidRPr="00E91F5B">
        <w:rPr>
          <w:rFonts w:asciiTheme="minorEastAsia" w:eastAsiaTheme="minorEastAsia" w:hAnsiTheme="minorEastAsia"/>
        </w:rPr>
        <w:t>定義及</w:t>
      </w:r>
      <w:r w:rsidR="006077D4" w:rsidRPr="00E91F5B">
        <w:rPr>
          <w:rFonts w:asciiTheme="minorEastAsia" w:eastAsiaTheme="minorEastAsia" w:hAnsiTheme="minorEastAsia"/>
        </w:rPr>
        <w:t>其</w:t>
      </w:r>
      <w:r w:rsidRPr="00E91F5B">
        <w:rPr>
          <w:rFonts w:asciiTheme="minorEastAsia" w:eastAsiaTheme="minorEastAsia" w:hAnsiTheme="minorEastAsia"/>
        </w:rPr>
        <w:t>關聯性。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探討</w:t>
      </w:r>
      <w:r w:rsidR="006077D4" w:rsidRPr="00E91F5B">
        <w:rPr>
          <w:rFonts w:asciiTheme="minorEastAsia" w:eastAsiaTheme="minorEastAsia" w:hAnsiTheme="minorEastAsia"/>
        </w:rPr>
        <w:t>各項</w:t>
      </w:r>
      <w:r w:rsidRPr="00E91F5B">
        <w:rPr>
          <w:rFonts w:asciiTheme="minorEastAsia" w:eastAsiaTheme="minorEastAsia" w:hAnsiTheme="minorEastAsia"/>
        </w:rPr>
        <w:t>指數相互替代可能性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考量</w:t>
      </w:r>
      <w:proofErr w:type="gramStart"/>
      <w:r w:rsidR="006077D4" w:rsidRPr="00E91F5B">
        <w:rPr>
          <w:rFonts w:asciiTheme="minorEastAsia" w:eastAsiaTheme="minorEastAsia" w:hAnsiTheme="minorEastAsia"/>
        </w:rPr>
        <w:t>疫</w:t>
      </w:r>
      <w:proofErr w:type="gramEnd"/>
      <w:r w:rsidR="006077D4" w:rsidRPr="00E91F5B">
        <w:rPr>
          <w:rFonts w:asciiTheme="minorEastAsia" w:eastAsiaTheme="minorEastAsia" w:hAnsiTheme="minorEastAsia"/>
        </w:rPr>
        <w:t>調成本及效益下，探討</w:t>
      </w:r>
      <w:r w:rsidR="008543DD" w:rsidRPr="00E91F5B">
        <w:rPr>
          <w:rFonts w:asciiTheme="minorEastAsia" w:eastAsiaTheme="minorEastAsia" w:hAnsiTheme="minorEastAsia"/>
        </w:rPr>
        <w:t>最佳</w:t>
      </w:r>
      <w:proofErr w:type="gramStart"/>
      <w:r w:rsidR="008543DD" w:rsidRPr="00E91F5B">
        <w:rPr>
          <w:rFonts w:asciiTheme="minorEastAsia" w:eastAsiaTheme="minorEastAsia" w:hAnsiTheme="minorEastAsia"/>
        </w:rPr>
        <w:t>疫</w:t>
      </w:r>
      <w:proofErr w:type="gramEnd"/>
      <w:r w:rsidR="008543DD" w:rsidRPr="00E91F5B">
        <w:rPr>
          <w:rFonts w:asciiTheme="minorEastAsia" w:eastAsiaTheme="minorEastAsia" w:hAnsiTheme="minorEastAsia"/>
        </w:rPr>
        <w:t>調</w:t>
      </w:r>
      <w:r w:rsidR="007753B7" w:rsidRPr="00E91F5B">
        <w:rPr>
          <w:rFonts w:asciiTheme="minorEastAsia" w:eastAsiaTheme="minorEastAsia" w:hAnsiTheme="minorEastAsia"/>
        </w:rPr>
        <w:t>方式</w:t>
      </w:r>
      <w:r w:rsidR="006077D4" w:rsidRPr="00E91F5B">
        <w:rPr>
          <w:rFonts w:asciiTheme="minorEastAsia" w:eastAsiaTheme="minorEastAsia" w:hAnsiTheme="minorEastAsia"/>
        </w:rPr>
        <w:t>及指數應用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1"/>
        </w:numPr>
        <w:spacing w:beforeLines="100" w:before="360" w:afterLines="100" w:after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文獻探討</w:t>
      </w:r>
    </w:p>
    <w:p w:rsidR="00F32A73" w:rsidRPr="00E91F5B" w:rsidRDefault="00577C96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密度指數：</w:t>
      </w:r>
      <w:r w:rsidR="00F32A73" w:rsidRPr="00E91F5B">
        <w:rPr>
          <w:rFonts w:asciiTheme="minorEastAsia" w:eastAsiaTheme="minorEastAsia" w:hAnsiTheme="minorEastAsia"/>
        </w:rPr>
        <w:t>住宅指數、容器指數、布氏指數</w:t>
      </w:r>
    </w:p>
    <w:p w:rsidR="00F32A73" w:rsidRPr="00E91F5B" w:rsidRDefault="00F32A73" w:rsidP="00BD4468">
      <w:pPr>
        <w:pStyle w:val="a9"/>
        <w:spacing w:beforeLines="100" w:before="360"/>
        <w:ind w:leftChars="0" w:left="870" w:firstLineChars="200" w:firstLine="528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病媒</w:t>
      </w:r>
      <w:proofErr w:type="gramStart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指數代表登革熱病媒蚊之密度，有住宅指數、容器指數、布氏指數。</w:t>
      </w:r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代表登革熱病媒</w:t>
      </w:r>
      <w:proofErr w:type="gramStart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幼蟲期（含蛹）之多寡</w:t>
      </w:r>
      <w:r w:rsidRPr="00E91F5B">
        <w:rPr>
          <w:rFonts w:asciiTheme="minorEastAsia" w:eastAsiaTheme="minorEastAsia" w:hAnsiTheme="minorEastAsia"/>
        </w:rPr>
        <w:t>（</w:t>
      </w:r>
      <w:r w:rsidR="00DF1760">
        <w:rPr>
          <w:rFonts w:asciiTheme="minorEastAsia" w:eastAsiaTheme="minorEastAsia" w:hAnsiTheme="minorEastAsia" w:hint="eastAsia"/>
        </w:rPr>
        <w:t>衛生福利部</w:t>
      </w:r>
      <w:r w:rsidRPr="00E91F5B">
        <w:rPr>
          <w:rFonts w:asciiTheme="minorEastAsia" w:eastAsiaTheme="minorEastAsia" w:hAnsiTheme="minorEastAsia"/>
        </w:rPr>
        <w:t>疾</w:t>
      </w:r>
      <w:r w:rsidR="00DF1760">
        <w:rPr>
          <w:rFonts w:asciiTheme="minorEastAsia" w:eastAsiaTheme="minorEastAsia" w:hAnsiTheme="minorEastAsia" w:hint="eastAsia"/>
        </w:rPr>
        <w:t>病</w:t>
      </w:r>
      <w:r w:rsidRPr="00E91F5B">
        <w:rPr>
          <w:rFonts w:asciiTheme="minorEastAsia" w:eastAsiaTheme="minorEastAsia" w:hAnsiTheme="minorEastAsia"/>
        </w:rPr>
        <w:t>管</w:t>
      </w:r>
      <w:r w:rsidR="00DF1760">
        <w:rPr>
          <w:rFonts w:asciiTheme="minorEastAsia" w:eastAsiaTheme="minorEastAsia" w:hAnsiTheme="minorEastAsia" w:hint="eastAsia"/>
        </w:rPr>
        <w:t>制</w:t>
      </w:r>
      <w:r w:rsidRPr="00E91F5B">
        <w:rPr>
          <w:rFonts w:asciiTheme="minorEastAsia" w:eastAsiaTheme="minorEastAsia" w:hAnsiTheme="minorEastAsia"/>
        </w:rPr>
        <w:t>署</w:t>
      </w:r>
      <w:r w:rsidR="00DF1760">
        <w:rPr>
          <w:rFonts w:ascii="標楷體" w:eastAsia="標楷體" w:hAnsi="標楷體" w:hint="eastAsia"/>
        </w:rPr>
        <w:t>〔</w:t>
      </w:r>
      <w:r w:rsidR="00DF1760" w:rsidRPr="00DF1760">
        <w:rPr>
          <w:rFonts w:asciiTheme="minorEastAsia" w:eastAsiaTheme="minorEastAsia" w:hAnsiTheme="minorEastAsia" w:hint="eastAsia"/>
        </w:rPr>
        <w:t>疾管署</w:t>
      </w:r>
      <w:r w:rsidR="00DF1760">
        <w:rPr>
          <w:rFonts w:ascii="標楷體" w:eastAsia="標楷體" w:hAnsi="標楷體" w:hint="eastAsia"/>
        </w:rPr>
        <w:t>〕</w:t>
      </w:r>
      <w:r w:rsidRPr="00E91F5B">
        <w:rPr>
          <w:rFonts w:asciiTheme="minorEastAsia" w:eastAsiaTheme="minorEastAsia" w:hAnsiTheme="minorEastAsia"/>
        </w:rPr>
        <w:t>，</w:t>
      </w:r>
      <w:r w:rsidRPr="00E91F5B">
        <w:rPr>
          <w:rFonts w:eastAsiaTheme="minorEastAsia"/>
        </w:rPr>
        <w:t>2012</w:t>
      </w:r>
      <w:r w:rsidRPr="00E91F5B">
        <w:rPr>
          <w:rFonts w:asciiTheme="minorEastAsia" w:eastAsiaTheme="minorEastAsia" w:hAnsiTheme="minorEastAsia"/>
        </w:rPr>
        <w:t>）。整理</w:t>
      </w:r>
      <w:r w:rsidRPr="00E91F5B">
        <w:rPr>
          <w:rFonts w:eastAsiaTheme="minorEastAsia"/>
        </w:rPr>
        <w:t>3</w:t>
      </w:r>
      <w:r w:rsidRPr="00E91F5B">
        <w:rPr>
          <w:rFonts w:asciiTheme="minorEastAsia" w:eastAsiaTheme="minorEastAsia" w:hAnsiTheme="minorEastAsia"/>
        </w:rPr>
        <w:t>項指數如（表一）。</w:t>
      </w:r>
    </w:p>
    <w:p w:rsidR="00B500ED" w:rsidRPr="00E91F5B" w:rsidRDefault="00050A3E" w:rsidP="0034015E">
      <w:pPr>
        <w:pStyle w:val="a9"/>
        <w:spacing w:beforeLines="100" w:before="360"/>
        <w:ind w:leftChars="0" w:left="737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B500ED" w:rsidRPr="00E91F5B">
        <w:rPr>
          <w:rFonts w:asciiTheme="minorEastAsia" w:eastAsiaTheme="minorEastAsia" w:hAnsiTheme="minorEastAsia"/>
        </w:rPr>
        <w:t>表</w:t>
      </w:r>
      <w:proofErr w:type="gramStart"/>
      <w:r w:rsidR="00B500ED" w:rsidRPr="00E91F5B">
        <w:rPr>
          <w:rFonts w:asciiTheme="minorEastAsia" w:eastAsiaTheme="minorEastAsia" w:hAnsiTheme="minorEastAsia"/>
        </w:rPr>
        <w:t>一</w:t>
      </w:r>
      <w:proofErr w:type="gramEnd"/>
      <w:r w:rsidR="00B500ED" w:rsidRPr="00E91F5B">
        <w:rPr>
          <w:rFonts w:asciiTheme="minorEastAsia" w:eastAsiaTheme="minorEastAsia" w:hAnsiTheme="minorEastAsia"/>
        </w:rPr>
        <w:t>：病媒</w:t>
      </w:r>
      <w:proofErr w:type="gramStart"/>
      <w:r w:rsidR="00B500ED" w:rsidRPr="00E91F5B">
        <w:rPr>
          <w:rFonts w:asciiTheme="minorEastAsia" w:eastAsiaTheme="minorEastAsia" w:hAnsiTheme="minorEastAsia"/>
        </w:rPr>
        <w:t>蚊</w:t>
      </w:r>
      <w:proofErr w:type="gramEnd"/>
      <w:r w:rsidR="00B500ED" w:rsidRPr="00E91F5B">
        <w:rPr>
          <w:rFonts w:asciiTheme="minorEastAsia" w:eastAsiaTheme="minorEastAsia" w:hAnsiTheme="minorEastAsia"/>
        </w:rPr>
        <w:t>指數定義及計算方法（自製）</w:t>
      </w:r>
    </w:p>
    <w:tbl>
      <w:tblPr>
        <w:tblW w:w="8140" w:type="dxa"/>
        <w:tblInd w:w="14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820"/>
      </w:tblGrid>
      <w:tr w:rsidR="00E91F5B" w:rsidRPr="00E91F5B" w:rsidTr="002D7E2A">
        <w:trPr>
          <w:trHeight w:val="675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容器指數</w:t>
            </w:r>
          </w:p>
        </w:tc>
        <w:tc>
          <w:tcPr>
            <w:tcW w:w="6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戶住宅，發現登革熱病媒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幼蟲孳生戶數之百分比。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公式：陽性戶數／調查戶數</w:t>
            </w:r>
            <w:proofErr w:type="gramStart"/>
            <w:r w:rsidRPr="00606E23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6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住宅指數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個容器，發現登革熱病媒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公式：陽性容器數／調查容器數</w:t>
            </w:r>
            <w:proofErr w:type="gramStart"/>
            <w:r w:rsidRPr="00606E23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7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布氏指數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="00B46901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戶</w:t>
            </w:r>
            <w:r w:rsidR="005A3DB5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住宅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公式：陽性容器數／調查戶數</w:t>
            </w:r>
            <w:proofErr w:type="gramStart"/>
            <w:r w:rsidRPr="00606E23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="009A687C">
              <w:rPr>
                <w:rFonts w:eastAsiaTheme="minorEastAsia"/>
                <w:color w:val="000000"/>
                <w:kern w:val="0"/>
              </w:rPr>
              <w:t>100</w:t>
            </w:r>
          </w:p>
        </w:tc>
      </w:tr>
    </w:tbl>
    <w:p w:rsidR="0014548C" w:rsidRPr="00E91F5B" w:rsidRDefault="0014548C" w:rsidP="0014548C">
      <w:pPr>
        <w:pStyle w:val="a9"/>
        <w:spacing w:beforeLines="100" w:before="360"/>
        <w:ind w:leftChars="0" w:left="870" w:firstLineChars="200" w:firstLine="480"/>
        <w:jc w:val="center"/>
        <w:rPr>
          <w:rFonts w:asciiTheme="minorEastAsia" w:eastAsiaTheme="minorEastAsia" w:hAnsiTheme="minorEastAsia"/>
        </w:rPr>
      </w:pPr>
    </w:p>
    <w:p w:rsidR="00F32A73" w:rsidRDefault="00570E74" w:rsidP="0014548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依照</w:t>
      </w:r>
      <w:proofErr w:type="gramStart"/>
      <w:r>
        <w:rPr>
          <w:rFonts w:ascii="新細明體" w:hAnsi="新細明體" w:hint="eastAsia"/>
        </w:rPr>
        <w:t>疾管署定義</w:t>
      </w:r>
      <w:proofErr w:type="gramEnd"/>
      <w:r>
        <w:rPr>
          <w:rFonts w:ascii="新細明體" w:hAnsi="新細明體" w:hint="eastAsia"/>
        </w:rPr>
        <w:t>，</w:t>
      </w:r>
      <w:r w:rsidR="00F32A73">
        <w:rPr>
          <w:rFonts w:ascii="新細明體" w:hAnsi="新細明體" w:hint="eastAsia"/>
        </w:rPr>
        <w:t>各指數數值又可換算成登革熱病媒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等級如（表二），地方政府會依據相關登革熱防治工作指引及等級來採取</w:t>
      </w:r>
      <w:r w:rsidR="00245509">
        <w:rPr>
          <w:rFonts w:ascii="新細明體" w:hAnsi="新細明體" w:hint="eastAsia"/>
        </w:rPr>
        <w:t>如豎</w:t>
      </w:r>
      <w:r w:rsidR="00F32A73">
        <w:rPr>
          <w:rFonts w:ascii="新細明體" w:hAnsi="新細明體" w:hint="eastAsia"/>
        </w:rPr>
        <w:t>立警示標誌、加強積水容器稽查、動員</w:t>
      </w:r>
      <w:proofErr w:type="gramStart"/>
      <w:r w:rsidR="00F32A73">
        <w:rPr>
          <w:rFonts w:ascii="新細明體" w:hAnsi="新細明體" w:hint="eastAsia"/>
        </w:rPr>
        <w:t>孳</w:t>
      </w:r>
      <w:proofErr w:type="gramEnd"/>
      <w:r w:rsidR="00F32A73">
        <w:rPr>
          <w:rFonts w:ascii="新細明體" w:hAnsi="新細明體" w:hint="eastAsia"/>
        </w:rPr>
        <w:t>清、噴灑消毒藥劑</w:t>
      </w:r>
      <w:r w:rsidR="00F32A73">
        <w:rPr>
          <w:rFonts w:ascii="新細明體" w:hAnsi="新細明體"/>
        </w:rPr>
        <w:t>…</w:t>
      </w:r>
      <w:r w:rsidR="00F32A73">
        <w:rPr>
          <w:rFonts w:ascii="新細明體" w:hAnsi="新細明體" w:hint="eastAsia"/>
        </w:rPr>
        <w:t>等對應措施。</w:t>
      </w:r>
    </w:p>
    <w:p w:rsidR="00E91F5B" w:rsidRDefault="00E91F5B" w:rsidP="00160DC1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表二：登革熱病媒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幼蟲各總指數與級數相關表（自製）</w:t>
      </w:r>
    </w:p>
    <w:tbl>
      <w:tblPr>
        <w:tblW w:w="8360" w:type="dxa"/>
        <w:tblInd w:w="12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00"/>
        <w:gridCol w:w="640"/>
        <w:gridCol w:w="760"/>
        <w:gridCol w:w="820"/>
        <w:gridCol w:w="820"/>
        <w:gridCol w:w="880"/>
        <w:gridCol w:w="800"/>
        <w:gridCol w:w="900"/>
        <w:gridCol w:w="820"/>
      </w:tblGrid>
      <w:tr w:rsidR="004C3907" w:rsidRPr="004C3907" w:rsidTr="002D7E2A">
        <w:trPr>
          <w:trHeight w:val="360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等級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9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4-7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18-28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29-37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38-49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60-76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77</w:t>
            </w:r>
          </w:p>
        </w:tc>
      </w:tr>
      <w:tr w:rsidR="004C3907" w:rsidRPr="004C3907" w:rsidTr="002D7E2A">
        <w:trPr>
          <w:trHeight w:val="46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15-20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21-27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28-31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32-40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41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5-9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20-34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35-49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75-99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100-199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200</w:t>
            </w:r>
          </w:p>
        </w:tc>
      </w:tr>
    </w:tbl>
    <w:p w:rsidR="00034010" w:rsidRDefault="00034010" w:rsidP="00034010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指數：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陽性率、</w:t>
      </w:r>
      <w:proofErr w:type="gramStart"/>
      <w:r>
        <w:rPr>
          <w:rFonts w:ascii="新細明體" w:hAnsi="新細明體" w:hint="eastAsia"/>
        </w:rPr>
        <w:t>誘卵桶總卵粒數</w:t>
      </w:r>
      <w:proofErr w:type="gramEnd"/>
    </w:p>
    <w:p w:rsidR="00F32A73" w:rsidRPr="000B0B2C" w:rsidRDefault="00F32A73" w:rsidP="000B0B2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傳染病防治研究中心指出</w:t>
      </w:r>
      <w:r w:rsidRPr="00C722BD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當病媒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密度較低時，會因靈敏度不足而低估病媒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數量，而無法達成預警效果，所以開發出新型的「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指數」</w:t>
      </w:r>
      <w:r w:rsidR="00050A3E">
        <w:rPr>
          <w:rFonts w:ascii="新細明體" w:hAnsi="新細明體" w:hint="eastAsia"/>
        </w:rPr>
        <w:t>。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指數定義為：陽性率＝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蚊媒產卵</w:t>
      </w:r>
      <w:proofErr w:type="gramEnd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於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每里放置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總數</w:t>
      </w:r>
      <w:r w:rsidR="00050A3E">
        <w:rPr>
          <w:rFonts w:ascii="新細明體" w:hAnsi="新細明體" w:cs="Arial" w:hint="eastAsia"/>
          <w:color w:val="000000"/>
          <w:sz w:val="23"/>
          <w:szCs w:val="23"/>
          <w:shd w:val="clear" w:color="auto" w:fill="FFFFFF"/>
        </w:rPr>
        <w:t>。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卵粒數</w:t>
      </w:r>
      <w:proofErr w:type="gramEnd"/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＝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</w:t>
      </w:r>
      <w:r w:rsidR="00050A3E" w:rsidRPr="000F56D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10</w:t>
      </w:r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個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誘卵桶中卵粒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數量之總和。</w:t>
      </w:r>
      <w:r w:rsidR="00050A3E">
        <w:rPr>
          <w:rFonts w:ascii="新細明體" w:hAnsi="新細明體" w:hint="eastAsia"/>
        </w:rPr>
        <w:t>而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指數是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陽性率及</w:t>
      </w:r>
      <w:r w:rsidR="0058160D">
        <w:rPr>
          <w:rFonts w:ascii="新細明體" w:hAnsi="新細明體" w:hint="eastAsia"/>
        </w:rPr>
        <w:t>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；當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陽性率大於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且每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里的總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大於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顆時，該地區應為「優先處理」地區，若僅陽性率低於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或僅每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個</w:t>
      </w:r>
      <w:proofErr w:type="gramStart"/>
      <w:r w:rsidR="00050A3E">
        <w:rPr>
          <w:rFonts w:ascii="新細明體" w:hAnsi="新細明體" w:hint="eastAsia"/>
        </w:rPr>
        <w:t>誘卵桶總卵粒數</w:t>
      </w:r>
      <w:proofErr w:type="gramEnd"/>
      <w:r w:rsidR="00050A3E">
        <w:rPr>
          <w:rFonts w:ascii="新細明體" w:hAnsi="新細明體" w:hint="eastAsia"/>
        </w:rPr>
        <w:t>低於</w:t>
      </w:r>
      <w:r w:rsidR="00050A3E" w:rsidRPr="000F56D6">
        <w:rPr>
          <w:rFonts w:asciiTheme="minorHAnsi" w:hAnsiTheme="minorHAnsi" w:cstheme="minorHAnsi"/>
        </w:rPr>
        <w:t>500</w:t>
      </w:r>
      <w:r w:rsidR="00FE1DA4">
        <w:rPr>
          <w:rFonts w:ascii="新細明體" w:hAnsi="新細明體" w:hint="eastAsia"/>
        </w:rPr>
        <w:t>顆時，則為「注意」地區（國</w:t>
      </w:r>
      <w:r w:rsidR="000B0B2C">
        <w:rPr>
          <w:rFonts w:ascii="新細明體" w:hAnsi="新細明體" w:hint="eastAsia"/>
        </w:rPr>
        <w:t>家</w:t>
      </w:r>
      <w:r w:rsidR="00FE1DA4" w:rsidRPr="000B0B2C">
        <w:rPr>
          <w:rFonts w:ascii="新細明體" w:hAnsi="新細明體" w:hint="eastAsia"/>
        </w:rPr>
        <w:t>衛</w:t>
      </w:r>
      <w:r w:rsidR="000B0B2C">
        <w:rPr>
          <w:rFonts w:ascii="新細明體" w:hAnsi="新細明體" w:hint="eastAsia"/>
        </w:rPr>
        <w:t>生研究</w:t>
      </w:r>
      <w:r w:rsidR="00FE1DA4" w:rsidRPr="000B0B2C">
        <w:rPr>
          <w:rFonts w:ascii="新細明體" w:hAnsi="新細明體" w:hint="eastAsia"/>
        </w:rPr>
        <w:t>院，</w:t>
      </w:r>
      <w:r w:rsidR="000B0B2C">
        <w:rPr>
          <w:rFonts w:hint="eastAsia"/>
        </w:rPr>
        <w:t>無日期</w:t>
      </w:r>
      <w:r w:rsidR="00FE1DA4" w:rsidRPr="000B0B2C">
        <w:rPr>
          <w:rFonts w:ascii="新細明體" w:hAnsi="新細明體" w:hint="eastAsia"/>
        </w:rPr>
        <w:t>）</w:t>
      </w:r>
      <w:r w:rsidR="00FE1DA4" w:rsidRPr="000B0B2C">
        <w:rPr>
          <w:rFonts w:ascii="Arial" w:hAnsi="Arial" w:cs="Arial"/>
          <w:color w:val="000000"/>
          <w:shd w:val="clear" w:color="auto" w:fill="FFFFFF"/>
        </w:rPr>
        <w:t>。</w:t>
      </w:r>
      <w:r w:rsidR="00FE1DA4" w:rsidRPr="000B0B2C">
        <w:rPr>
          <w:rFonts w:ascii="新細明體" w:hAnsi="新細明體" w:hint="eastAsia"/>
        </w:rPr>
        <w:t>依</w:t>
      </w:r>
      <w:r w:rsidR="003A422B" w:rsidRPr="000B0B2C">
        <w:rPr>
          <w:rFonts w:ascii="新細明體" w:hAnsi="新細明體" w:hint="eastAsia"/>
        </w:rPr>
        <w:t>定義，</w:t>
      </w:r>
      <w:r w:rsidR="00FE1DA4" w:rsidRPr="000B0B2C">
        <w:rPr>
          <w:rFonts w:ascii="新細明體" w:hAnsi="新細明體" w:hint="eastAsia"/>
        </w:rPr>
        <w:t>重新</w:t>
      </w:r>
      <w:r w:rsidR="00050A3E" w:rsidRPr="000B0B2C">
        <w:rPr>
          <w:rFonts w:ascii="新細明體" w:hAnsi="新細明體" w:hint="eastAsia"/>
        </w:rPr>
        <w:t>製圖</w:t>
      </w:r>
      <w:r w:rsidR="00054A21" w:rsidRPr="000B0B2C">
        <w:rPr>
          <w:rFonts w:ascii="新細明體" w:hAnsi="新細明體" w:hint="eastAsia"/>
        </w:rPr>
        <w:t>如（圖一</w:t>
      </w:r>
      <w:r w:rsidR="00FE1DA4" w:rsidRPr="000B0B2C">
        <w:rPr>
          <w:rFonts w:ascii="新細明體" w:hAnsi="新細明體" w:hint="eastAsia"/>
        </w:rPr>
        <w:t>）</w:t>
      </w:r>
      <w:r w:rsidR="00050A3E" w:rsidRPr="000B0B2C">
        <w:rPr>
          <w:rFonts w:ascii="新細明體" w:hAnsi="新細明體" w:hint="eastAsia"/>
        </w:rPr>
        <w:t>。</w:t>
      </w:r>
    </w:p>
    <w:p w:rsidR="00054A21" w:rsidRDefault="000B0A1C" w:rsidP="009F627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為一種特製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且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內</w:t>
      </w:r>
      <w:r w:rsidRPr="000B0A1C">
        <w:rPr>
          <w:rFonts w:ascii="Arial" w:hAnsi="Arial" w:cs="Arial"/>
          <w:color w:val="000000"/>
          <w:shd w:val="clear" w:color="auto" w:fill="FFFFFF"/>
        </w:rPr>
        <w:t>裝清水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及</w:t>
      </w:r>
      <w:proofErr w:type="gramStart"/>
      <w:r w:rsidR="006F63D5">
        <w:rPr>
          <w:rFonts w:ascii="Arial" w:hAnsi="Arial" w:cs="Arial" w:hint="eastAsia"/>
          <w:color w:val="000000"/>
          <w:shd w:val="clear" w:color="auto" w:fill="FFFFFF"/>
        </w:rPr>
        <w:t>誘卵紙</w:t>
      </w:r>
      <w:proofErr w:type="gramEnd"/>
      <w:r w:rsidRPr="000B0A1C">
        <w:rPr>
          <w:rFonts w:ascii="Arial" w:hAnsi="Arial" w:cs="Arial" w:hint="eastAsia"/>
          <w:color w:val="000000"/>
          <w:shd w:val="clear" w:color="auto" w:fill="FFFFFF"/>
        </w:rPr>
        <w:t>的</w:t>
      </w:r>
      <w:r w:rsidRPr="000B0A1C">
        <w:rPr>
          <w:rFonts w:ascii="Arial" w:hAnsi="Arial" w:cs="Arial"/>
          <w:color w:val="000000"/>
          <w:shd w:val="clear" w:color="auto" w:fill="FFFFFF"/>
        </w:rPr>
        <w:t>黑色桶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子</w:t>
      </w:r>
      <w:r w:rsidR="006F63D5" w:rsidRPr="000B0A1C">
        <w:rPr>
          <w:rFonts w:ascii="Arial" w:hAnsi="Arial" w:cs="Arial"/>
          <w:color w:val="000000"/>
          <w:shd w:val="clear" w:color="auto" w:fill="FFFFFF"/>
        </w:rPr>
        <w:t>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藉</w:t>
      </w:r>
      <w:r w:rsidRPr="000B0A1C">
        <w:rPr>
          <w:rFonts w:ascii="Arial" w:hAnsi="Arial" w:cs="Arial"/>
          <w:color w:val="000000"/>
          <w:shd w:val="clear" w:color="auto" w:fill="FFFFFF"/>
        </w:rPr>
        <w:t>以引誘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病媒蚊進到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桶內產卵，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並</w:t>
      </w:r>
      <w:r w:rsidR="006F63D5">
        <w:rPr>
          <w:rFonts w:ascii="Arial" w:hAnsi="Arial" w:cs="Arial"/>
          <w:color w:val="000000"/>
          <w:shd w:val="clear" w:color="auto" w:fill="FFFFFF"/>
        </w:rPr>
        <w:t>在社區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固定位置</w:t>
      </w:r>
      <w:r w:rsidR="006F63D5">
        <w:rPr>
          <w:rFonts w:ascii="Arial" w:hAnsi="Arial" w:cs="Arial"/>
          <w:color w:val="000000"/>
          <w:shd w:val="clear" w:color="auto" w:fill="FFFFFF"/>
        </w:rPr>
        <w:t>放置</w:t>
      </w:r>
      <w:r w:rsidR="0058160D">
        <w:rPr>
          <w:rFonts w:ascii="Arial" w:hAnsi="Arial" w:cs="Arial" w:hint="eastAsia"/>
          <w:color w:val="000000"/>
          <w:shd w:val="clear" w:color="auto" w:fill="FFFFFF"/>
        </w:rPr>
        <w:t>後</w:t>
      </w:r>
      <w:r w:rsidRPr="000B0A1C">
        <w:rPr>
          <w:rFonts w:ascii="Arial" w:hAnsi="Arial" w:cs="Arial"/>
          <w:color w:val="000000"/>
          <w:shd w:val="clear" w:color="auto" w:fill="FFFFFF"/>
        </w:rPr>
        <w:t>，計算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陽性率</w:t>
      </w:r>
      <w:bookmarkStart w:id="0" w:name="_GoBack"/>
      <w:bookmarkEnd w:id="0"/>
      <w:r w:rsidRPr="000B0A1C">
        <w:rPr>
          <w:rFonts w:ascii="Arial" w:hAnsi="Arial" w:cs="Arial"/>
          <w:color w:val="000000"/>
          <w:shd w:val="clear" w:color="auto" w:fill="FFFFFF"/>
        </w:rPr>
        <w:t>及總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卵粒數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。</w:t>
      </w:r>
      <w:r w:rsidRPr="00FD1ACE">
        <w:rPr>
          <w:rFonts w:ascii="新細明體" w:hAnsi="新細明體" w:hint="eastAsia"/>
        </w:rPr>
        <w:t>如</w:t>
      </w:r>
      <w:r>
        <w:rPr>
          <w:rFonts w:ascii="新細明體" w:hAnsi="新細明體" w:hint="eastAsia"/>
        </w:rPr>
        <w:t>（</w:t>
      </w:r>
      <w:r w:rsidR="00054A21">
        <w:rPr>
          <w:rFonts w:ascii="新細明體" w:hAnsi="新細明體" w:hint="eastAsia"/>
        </w:rPr>
        <w:t>圖二</w:t>
      </w:r>
      <w:r>
        <w:rPr>
          <w:rFonts w:ascii="新細明體" w:hAnsi="新細明體" w:hint="eastAsia"/>
        </w:rPr>
        <w:t>）。</w:t>
      </w:r>
    </w:p>
    <w:p w:rsidR="009F6278" w:rsidRPr="009F6278" w:rsidRDefault="009F6278" w:rsidP="009F6278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</w:p>
    <w:p w:rsidR="00050A3E" w:rsidRPr="00050A3E" w:rsidRDefault="00156BFD" w:rsidP="00CF1B5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anchor distT="0" distB="0" distL="114300" distR="114300" simplePos="0" relativeHeight="251658240" behindDoc="1" locked="0" layoutInCell="1" allowOverlap="1" wp14:anchorId="57E0A085" wp14:editId="5F7AFB56">
            <wp:simplePos x="0" y="0"/>
            <wp:positionH relativeFrom="column">
              <wp:posOffset>621030</wp:posOffset>
            </wp:positionH>
            <wp:positionV relativeFrom="paragraph">
              <wp:posOffset>271145</wp:posOffset>
            </wp:positionV>
            <wp:extent cx="2484120" cy="2273935"/>
            <wp:effectExtent l="0" t="0" r="0" b="0"/>
            <wp:wrapTight wrapText="bothSides">
              <wp:wrapPolygon edited="0">
                <wp:start x="0" y="0"/>
                <wp:lineTo x="0" y="21353"/>
                <wp:lineTo x="21368" y="21353"/>
                <wp:lineTo x="21368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A3E">
        <w:rPr>
          <w:rFonts w:ascii="新細明體" w:hAnsi="新細明體" w:hint="eastAsia"/>
        </w:rPr>
        <w:t xml:space="preserve">        </w:t>
      </w:r>
      <w:r w:rsidR="00050A3E" w:rsidRPr="00050A3E">
        <w:rPr>
          <w:rFonts w:ascii="新細明體" w:hAnsi="新細明體" w:hint="eastAsia"/>
        </w:rPr>
        <w:t>圖一：</w:t>
      </w:r>
      <w:proofErr w:type="gramStart"/>
      <w:r w:rsidR="00050A3E" w:rsidRPr="00050A3E">
        <w:rPr>
          <w:rFonts w:ascii="新細明體" w:hAnsi="新細明體" w:hint="eastAsia"/>
        </w:rPr>
        <w:t>誘卵桶</w:t>
      </w:r>
      <w:proofErr w:type="gramEnd"/>
      <w:r w:rsidR="00050A3E" w:rsidRPr="00050A3E">
        <w:rPr>
          <w:rFonts w:ascii="新細明體" w:hAnsi="新細明體" w:hint="eastAsia"/>
        </w:rPr>
        <w:t>指數（自製）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　　　圖二：</w:t>
      </w:r>
      <w:proofErr w:type="gramStart"/>
      <w:r w:rsidR="00050A3E" w:rsidRPr="00050A3E">
        <w:rPr>
          <w:rFonts w:ascii="新細明體" w:hAnsi="新細明體" w:hint="eastAsia"/>
        </w:rPr>
        <w:t>誘</w:t>
      </w:r>
      <w:proofErr w:type="gramEnd"/>
      <w:r w:rsidR="00050A3E" w:rsidRPr="00050A3E">
        <w:rPr>
          <w:rFonts w:ascii="新細明體" w:hAnsi="新細明體" w:hint="eastAsia"/>
        </w:rPr>
        <w:t>卵桶</w:t>
      </w:r>
    </w:p>
    <w:p w:rsidR="00050A3E" w:rsidRDefault="00883E37" w:rsidP="008F1A4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</w:t>
      </w:r>
      <w:r w:rsidR="00050A3E">
        <w:rPr>
          <w:rFonts w:ascii="新細明體" w:hAnsi="新細明體" w:hint="eastAsia"/>
        </w:rPr>
        <w:t xml:space="preserve">   </w:t>
      </w:r>
      <w:r w:rsidR="00050A3E">
        <w:rPr>
          <w:rFonts w:hint="eastAsia"/>
          <w:noProof/>
        </w:rPr>
        <w:drawing>
          <wp:inline distT="0" distB="0" distL="0" distR="0" wp14:anchorId="5F6B102D" wp14:editId="295865DE">
            <wp:extent cx="2914015" cy="2268549"/>
            <wp:effectExtent l="0" t="0" r="635" b="0"/>
            <wp:docPr id="72" name="圖片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51" cy="255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78" w:rsidRPr="009F6278" w:rsidRDefault="00050A3E" w:rsidP="009F6278">
      <w:pPr>
        <w:wordWrap w:val="0"/>
        <w:jc w:val="both"/>
        <w:rPr>
          <w:rFonts w:asciiTheme="minorHAnsi" w:hAnsiTheme="minorHAnsi" w:cstheme="minorHAnsi"/>
          <w:bCs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      </w:t>
      </w:r>
      <w:r w:rsidR="00883E37">
        <w:rPr>
          <w:rFonts w:ascii="新細明體" w:hAnsi="新細明體" w:hint="eastAsia"/>
        </w:rPr>
        <w:t xml:space="preserve">                                    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proofErr w:type="gramStart"/>
      <w:r w:rsidRPr="001F582B">
        <w:rPr>
          <w:rFonts w:ascii="新細明體" w:hAnsi="新細明體" w:hint="eastAsia"/>
          <w:bCs/>
        </w:rPr>
        <w:t>（</w:t>
      </w:r>
      <w:proofErr w:type="gramEnd"/>
      <w:r w:rsidRPr="009F6278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9F6278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9F6278">
        <w:rPr>
          <w:rFonts w:asciiTheme="minorHAnsi" w:hAnsiTheme="minorHAnsi" w:cstheme="minorHAnsi"/>
          <w:bCs/>
        </w:rPr>
        <w:t>2</w:t>
      </w:r>
    </w:p>
    <w:p w:rsidR="009836B8" w:rsidRPr="009836B8" w:rsidRDefault="009F6278" w:rsidP="009F6278">
      <w:pPr>
        <w:wordWrap w:val="0"/>
        <w:ind w:firstLine="1"/>
        <w:jc w:val="both"/>
        <w:rPr>
          <w:rFonts w:asciiTheme="minorHAnsi" w:hAnsiTheme="minorHAnsi" w:cstheme="minorHAnsi"/>
          <w:bCs/>
        </w:rPr>
      </w:pPr>
      <w:r w:rsidRPr="009F6278">
        <w:rPr>
          <w:rFonts w:asciiTheme="minorHAnsi" w:hAnsiTheme="minorHAnsi" w:cstheme="minorHAnsi"/>
          <w:bCs/>
        </w:rPr>
        <w:t xml:space="preserve">      </w:t>
      </w:r>
      <w:r w:rsidR="008850CA">
        <w:rPr>
          <w:rFonts w:asciiTheme="minorHAnsi" w:hAnsiTheme="minorHAnsi" w:cstheme="minorHAnsi" w:hint="eastAsia"/>
          <w:bCs/>
        </w:rPr>
        <w:t xml:space="preserve">                                    </w:t>
      </w:r>
      <w:r w:rsidR="00050A3E" w:rsidRPr="009F6278">
        <w:rPr>
          <w:rFonts w:asciiTheme="minorHAnsi" w:hAnsiTheme="minorHAnsi" w:cstheme="minorHAnsi"/>
          <w:bCs/>
        </w:rPr>
        <w:t>9</w:t>
      </w:r>
      <w:r w:rsidR="00050A3E" w:rsidRPr="001F582B">
        <w:rPr>
          <w:rFonts w:ascii="新細明體" w:hAnsi="新細明體" w:hint="eastAsia"/>
          <w:bCs/>
        </w:rPr>
        <w:t>日</w:t>
      </w:r>
      <w:proofErr w:type="gramStart"/>
      <w:r w:rsidR="00050A3E" w:rsidRPr="001F582B">
        <w:rPr>
          <w:rFonts w:ascii="新細明體" w:hAnsi="新細明體" w:hint="eastAsia"/>
          <w:bCs/>
        </w:rPr>
        <w:t>）</w:t>
      </w:r>
      <w:proofErr w:type="gramEnd"/>
      <w:r w:rsidR="00050A3E" w:rsidRPr="001F582B">
        <w:rPr>
          <w:rFonts w:ascii="新細明體" w:hAnsi="新細明體" w:hint="eastAsia"/>
          <w:bCs/>
        </w:rPr>
        <w:t>。</w:t>
      </w:r>
      <w:proofErr w:type="gramStart"/>
      <w:r w:rsidR="00050A3E">
        <w:rPr>
          <w:rFonts w:ascii="新細明體" w:hAnsi="新細明體" w:hint="eastAsia"/>
          <w:bCs/>
        </w:rPr>
        <w:t>臺</w:t>
      </w:r>
      <w:proofErr w:type="gramEnd"/>
      <w:r w:rsidR="00050A3E">
        <w:rPr>
          <w:rFonts w:ascii="新細明體" w:hAnsi="新細明體" w:hint="eastAsia"/>
          <w:bCs/>
        </w:rPr>
        <w:t>南市政府使用</w:t>
      </w:r>
      <w:proofErr w:type="gramStart"/>
      <w:r w:rsidR="00050A3E">
        <w:rPr>
          <w:rFonts w:ascii="新細明體" w:hAnsi="新細明體" w:hint="eastAsia"/>
          <w:bCs/>
        </w:rPr>
        <w:t>誘卵桶</w:t>
      </w:r>
      <w:proofErr w:type="gramEnd"/>
      <w:r w:rsidR="00050A3E">
        <w:rPr>
          <w:rFonts w:ascii="新細明體" w:hAnsi="新細明體" w:hint="eastAsia"/>
          <w:bCs/>
        </w:rPr>
        <w:t>監控</w:t>
      </w:r>
      <w:r w:rsidR="00050A3E" w:rsidRPr="001F582B">
        <w:rPr>
          <w:rFonts w:ascii="新細明體" w:hAnsi="新細明體" w:hint="eastAsia"/>
          <w:bCs/>
        </w:rPr>
        <w:t>。</w:t>
      </w:r>
      <w:r w:rsidR="009836B8" w:rsidRPr="009836B8">
        <w:rPr>
          <w:rFonts w:asciiTheme="minorHAnsi" w:hAnsiTheme="minorHAnsi" w:cstheme="minorHAnsi"/>
          <w:bCs/>
        </w:rPr>
        <w:fldChar w:fldCharType="begin"/>
      </w:r>
      <w:r w:rsidR="009836B8" w:rsidRPr="009836B8">
        <w:rPr>
          <w:rFonts w:asciiTheme="minorHAnsi" w:hAnsiTheme="minorHAnsi" w:cstheme="minorHAnsi"/>
          <w:bCs/>
        </w:rPr>
        <w:instrText xml:space="preserve"> HYPERLINK "https:/</w:instrText>
      </w:r>
      <w:r w:rsidR="009836B8" w:rsidRPr="009836B8">
        <w:rPr>
          <w:rFonts w:asciiTheme="minorHAnsi" w:hAnsiTheme="minorHAnsi" w:cstheme="minorHAnsi" w:hint="eastAsia"/>
          <w:bCs/>
        </w:rPr>
        <w:instrText>/</w:instrText>
      </w:r>
      <w:r w:rsidR="009836B8" w:rsidRPr="009836B8">
        <w:rPr>
          <w:rFonts w:asciiTheme="minorHAnsi" w:hAnsiTheme="minorHAnsi" w:cstheme="minorHAnsi"/>
          <w:bCs/>
        </w:rPr>
        <w:instrText xml:space="preserve">                                           health.tainan.gov.tw/dengue/page.asp?mainid=</w:instrText>
      </w:r>
    </w:p>
    <w:p w:rsidR="009836B8" w:rsidRPr="009836B8" w:rsidRDefault="009836B8" w:rsidP="009F6278">
      <w:pPr>
        <w:wordWrap w:val="0"/>
        <w:ind w:firstLine="1"/>
        <w:jc w:val="both"/>
        <w:rPr>
          <w:rStyle w:val="a6"/>
          <w:rFonts w:asciiTheme="minorHAnsi" w:hAnsiTheme="minorHAnsi" w:cstheme="minorHAnsi"/>
          <w:bCs/>
          <w:color w:val="auto"/>
          <w:u w:val="none"/>
        </w:rPr>
      </w:pPr>
      <w:r w:rsidRPr="009836B8">
        <w:rPr>
          <w:rFonts w:asciiTheme="minorHAnsi" w:hAnsiTheme="minorHAnsi" w:cstheme="minorHAnsi"/>
          <w:bCs/>
        </w:rPr>
        <w:instrText xml:space="preserve">                                          %" </w:instrText>
      </w:r>
      <w:r w:rsidRPr="009836B8">
        <w:rPr>
          <w:rFonts w:asciiTheme="minorHAnsi" w:hAnsiTheme="minorHAnsi" w:cstheme="minorHAnsi"/>
          <w:bCs/>
        </w:rPr>
        <w:fldChar w:fldCharType="separate"/>
      </w: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>https:/</w:t>
      </w:r>
      <w:r w:rsidRPr="009836B8">
        <w:rPr>
          <w:rStyle w:val="a6"/>
          <w:rFonts w:asciiTheme="minorHAnsi" w:hAnsiTheme="minorHAnsi" w:cstheme="minorHAnsi" w:hint="eastAsia"/>
          <w:bCs/>
          <w:color w:val="auto"/>
          <w:u w:val="none"/>
        </w:rPr>
        <w:t>/</w:t>
      </w: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  health.tainan.gov.tw/dengue/page.asp?mainid=</w:t>
      </w:r>
    </w:p>
    <w:p w:rsidR="00050A3E" w:rsidRPr="008850CA" w:rsidRDefault="009836B8" w:rsidP="008850CA">
      <w:pPr>
        <w:wordWrap w:val="0"/>
        <w:ind w:firstLine="1"/>
        <w:jc w:val="both"/>
        <w:rPr>
          <w:rFonts w:asciiTheme="minorHAnsi" w:hAnsiTheme="minorHAnsi" w:cstheme="minorHAnsi"/>
          <w:bCs/>
        </w:rPr>
      </w:pPr>
      <w:r w:rsidRPr="009836B8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 %</w:t>
      </w:r>
      <w:r w:rsidRPr="009836B8">
        <w:rPr>
          <w:rFonts w:asciiTheme="minorHAnsi" w:hAnsiTheme="minorHAnsi" w:cstheme="minorHAnsi"/>
          <w:bCs/>
        </w:rPr>
        <w:fldChar w:fldCharType="end"/>
      </w:r>
      <w:r w:rsidR="008850CA" w:rsidRPr="008850CA">
        <w:rPr>
          <w:rFonts w:asciiTheme="minorHAnsi" w:hAnsiTheme="minorHAnsi" w:cstheme="minorHAnsi"/>
          <w:bCs/>
        </w:rPr>
        <w:t>7B3CDBBF11-6045-4F65-891B-8AEC859</w:t>
      </w:r>
      <w:r w:rsidR="008850CA">
        <w:rPr>
          <w:rFonts w:asciiTheme="minorHAnsi" w:hAnsiTheme="minorHAnsi" w:cstheme="minorHAnsi" w:hint="eastAsia"/>
          <w:bCs/>
        </w:rPr>
        <w:t xml:space="preserve">E                                          </w:t>
      </w:r>
      <w:r w:rsidR="008850CA" w:rsidRPr="008850CA">
        <w:rPr>
          <w:rFonts w:asciiTheme="minorHAnsi" w:hAnsiTheme="minorHAnsi" w:cstheme="minorHAnsi"/>
          <w:bCs/>
        </w:rPr>
        <w:t>2AAE%7D</w:t>
      </w:r>
      <w:r w:rsidR="009F6278" w:rsidRPr="009836B8">
        <w:rPr>
          <w:rFonts w:asciiTheme="minorHAnsi" w:hAnsiTheme="minorHAnsi" w:cstheme="minorHAnsi"/>
        </w:rPr>
        <w:t>。</w:t>
      </w:r>
    </w:p>
    <w:p w:rsidR="00F32A73" w:rsidRPr="006077D4" w:rsidRDefault="0022400D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lastRenderedPageBreak/>
        <w:t>誘卵桶</w:t>
      </w:r>
      <w:proofErr w:type="gramEnd"/>
      <w:r>
        <w:rPr>
          <w:rFonts w:ascii="新細明體" w:hAnsi="新細明體" w:hint="eastAsia"/>
        </w:rPr>
        <w:t>陽性率、總</w:t>
      </w:r>
      <w:proofErr w:type="gramStart"/>
      <w:r>
        <w:rPr>
          <w:rFonts w:ascii="新細明體" w:hAnsi="新細明體" w:hint="eastAsia"/>
        </w:rPr>
        <w:t>卵粒數</w:t>
      </w:r>
      <w:proofErr w:type="gramEnd"/>
      <w:r>
        <w:rPr>
          <w:rFonts w:ascii="新細明體" w:hAnsi="新細明體" w:hint="eastAsia"/>
        </w:rPr>
        <w:t>、與布氏</w:t>
      </w:r>
      <w:r w:rsidR="00BD4468" w:rsidRPr="006077D4">
        <w:rPr>
          <w:rFonts w:ascii="新細明體" w:hAnsi="新細明體" w:hint="eastAsia"/>
        </w:rPr>
        <w:t>指數的關係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</w:t>
      </w:r>
      <w:r w:rsidRPr="00662055">
        <w:rPr>
          <w:rFonts w:asciiTheme="minorHAnsi" w:hAnsiTheme="minorHAnsi" w:cstheme="minorHAnsi"/>
        </w:rPr>
        <w:t>（</w:t>
      </w:r>
      <w:r w:rsidRPr="00662055">
        <w:rPr>
          <w:rFonts w:asciiTheme="minorHAnsi" w:hAnsiTheme="minorHAnsi" w:cstheme="minorHAnsi"/>
        </w:rPr>
        <w:t>2005</w:t>
      </w:r>
      <w:r w:rsidRPr="00662055">
        <w:rPr>
          <w:rFonts w:asciiTheme="minorHAnsi" w:hAnsiTheme="minorHAnsi" w:cstheme="minorHAnsi"/>
        </w:rPr>
        <w:t>）</w:t>
      </w:r>
      <w:r>
        <w:rPr>
          <w:rFonts w:ascii="新細明體" w:hAnsi="新細明體" w:hint="eastAsia"/>
        </w:rPr>
        <w:t>研究高雄市登革熱病媒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密度指數關聯性，結論認為</w:t>
      </w:r>
      <w:r w:rsidRPr="00A82D7F">
        <w:t>布氏指數與</w:t>
      </w:r>
      <w:proofErr w:type="gramStart"/>
      <w:r w:rsidRPr="00A82D7F">
        <w:t>誘</w:t>
      </w:r>
      <w:proofErr w:type="gramEnd"/>
      <w:r w:rsidRPr="00A82D7F">
        <w:t>蚊產卵器陽性率經</w:t>
      </w:r>
      <w:proofErr w:type="gramStart"/>
      <w:r w:rsidRPr="00A82D7F">
        <w:t>迴</w:t>
      </w:r>
      <w:proofErr w:type="gramEnd"/>
      <w:r w:rsidRPr="00A82D7F">
        <w:t>歸統計後存在著數學</w:t>
      </w:r>
      <w:r w:rsidRPr="00A82D7F">
        <w:rPr>
          <w:rFonts w:hint="eastAsia"/>
        </w:rPr>
        <w:t>線性</w:t>
      </w:r>
      <w:r w:rsidRPr="00A82D7F">
        <w:t>關係式</w:t>
      </w:r>
      <w:r>
        <w:rPr>
          <w:rFonts w:ascii="新細明體" w:hAnsi="新細明體" w:hint="eastAsia"/>
        </w:rPr>
        <w:t>。該文獻文中也提及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陽性率與其他指數關聯係數，布氏指數（相關係數＝</w:t>
      </w:r>
      <w:r w:rsidRPr="00662055">
        <w:rPr>
          <w:rFonts w:asciiTheme="minorHAnsi" w:hAnsiTheme="minorHAnsi" w:cstheme="minorHAnsi"/>
        </w:rPr>
        <w:t>0.297</w:t>
      </w:r>
      <w:r>
        <w:rPr>
          <w:rFonts w:ascii="新細明體" w:hAnsi="新細明體" w:hint="eastAsia"/>
        </w:rPr>
        <w:t>）、容器指數（相關係數＝</w:t>
      </w:r>
      <w:r w:rsidRPr="00662055">
        <w:rPr>
          <w:rFonts w:asciiTheme="minorHAnsi" w:hAnsiTheme="minorHAnsi" w:cstheme="minorHAnsi"/>
        </w:rPr>
        <w:t>0.261</w:t>
      </w:r>
      <w:r>
        <w:rPr>
          <w:rFonts w:ascii="新細明體" w:hAnsi="新細明體" w:hint="eastAsia"/>
        </w:rPr>
        <w:t>）、住宅指數（相關係數＝</w:t>
      </w:r>
      <w:r w:rsidRPr="00662055">
        <w:rPr>
          <w:rFonts w:asciiTheme="minorHAnsi" w:hAnsiTheme="minorHAnsi" w:cstheme="minorHAnsi"/>
        </w:rPr>
        <w:t>0.311</w:t>
      </w:r>
      <w:r>
        <w:rPr>
          <w:rFonts w:ascii="新細明體" w:hAnsi="新細明體" w:hint="eastAsia"/>
        </w:rPr>
        <w:t>），並建議可直接採用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陽性率指數替代布氏指數。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何兆美等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）指出，在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南及高雄兩地使用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指數與布氏指數、容器指數調查病媒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密度後發現，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指數相較於布氏指數或容器指數有比較高的敏感度，另外該文獻也指出氣溫及降雨對於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指數中的</w:t>
      </w:r>
      <w:r w:rsidR="0013685D">
        <w:rPr>
          <w:rFonts w:ascii="新細明體" w:hAnsi="新細明體" w:hint="eastAsia"/>
        </w:rPr>
        <w:t>產卵陽性率或</w:t>
      </w:r>
      <w:proofErr w:type="gramStart"/>
      <w:r w:rsidR="0013685D">
        <w:rPr>
          <w:rFonts w:ascii="新細明體" w:hAnsi="新細明體" w:hint="eastAsia"/>
        </w:rPr>
        <w:t>卵粒數</w:t>
      </w:r>
      <w:proofErr w:type="gramEnd"/>
      <w:r w:rsidR="0013685D">
        <w:rPr>
          <w:rFonts w:ascii="新細明體" w:hAnsi="新細明體" w:hint="eastAsia"/>
        </w:rPr>
        <w:t>沒有直接關係，並建議在病媒</w:t>
      </w:r>
      <w:proofErr w:type="gramStart"/>
      <w:r w:rsidR="0013685D">
        <w:rPr>
          <w:rFonts w:ascii="新細明體" w:hAnsi="新細明體" w:hint="eastAsia"/>
        </w:rPr>
        <w:t>蚊</w:t>
      </w:r>
      <w:proofErr w:type="gramEnd"/>
      <w:r w:rsidR="0013685D">
        <w:rPr>
          <w:rFonts w:ascii="新細明體" w:hAnsi="新細明體" w:hint="eastAsia"/>
        </w:rPr>
        <w:t>密度較低情況下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指數會優於布氏指數。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t>任飞林</w:t>
      </w:r>
      <w:r>
        <w:rPr>
          <w:rFonts w:hint="eastAsia"/>
        </w:rPr>
        <w:t>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）於浙江省湖州市吳興區及南潯區進行與</w:t>
      </w:r>
      <w:r>
        <w:t>布雷图指数</w:t>
      </w:r>
      <w:r>
        <w:rPr>
          <w:rFonts w:ascii="新細明體" w:hAnsi="新細明體" w:hint="eastAsia"/>
        </w:rPr>
        <w:t>（</w:t>
      </w:r>
      <w:proofErr w:type="spellStart"/>
      <w:r w:rsidRPr="00662055">
        <w:rPr>
          <w:rFonts w:asciiTheme="minorHAnsi" w:hAnsiTheme="minorHAnsi" w:cstheme="minorHAnsi"/>
        </w:rPr>
        <w:t>breeeau</w:t>
      </w:r>
      <w:proofErr w:type="spellEnd"/>
      <w:r w:rsidRPr="00662055">
        <w:rPr>
          <w:rFonts w:asciiTheme="minorHAnsi" w:hAnsiTheme="minorHAnsi" w:cstheme="minorHAnsi"/>
        </w:rPr>
        <w:t xml:space="preserve"> index, </w:t>
      </w:r>
      <w:r>
        <w:rPr>
          <w:rFonts w:ascii="新細明體" w:hAnsi="新細明體" w:hint="eastAsia"/>
        </w:rPr>
        <w:t>BI</w:t>
      </w:r>
      <w:r w:rsidR="00F83D4A">
        <w:rPr>
          <w:rFonts w:ascii="新細明體" w:hAnsi="新細明體" w:hint="eastAsia"/>
        </w:rPr>
        <w:t>，即布氏指數</w:t>
      </w:r>
      <w:r>
        <w:rPr>
          <w:rFonts w:ascii="新細明體" w:hAnsi="新細明體" w:hint="eastAsia"/>
        </w:rPr>
        <w:t>）</w:t>
      </w:r>
      <w:r>
        <w:t>诱蚊诱卵指数</w:t>
      </w:r>
      <w:r>
        <w:rPr>
          <w:rFonts w:ascii="新細明體" w:hAnsi="新細明體" w:hint="eastAsia"/>
        </w:rPr>
        <w:t>（</w:t>
      </w:r>
      <w:r w:rsidRPr="005A3DB5">
        <w:rPr>
          <w:rFonts w:asciiTheme="minorHAnsi" w:hAnsiTheme="minorHAnsi" w:cstheme="minorHAnsi"/>
        </w:rPr>
        <w:t xml:space="preserve">mosquito </w:t>
      </w:r>
      <w:proofErr w:type="spellStart"/>
      <w:r w:rsidRPr="005A3DB5">
        <w:rPr>
          <w:rFonts w:asciiTheme="minorHAnsi" w:hAnsiTheme="minorHAnsi" w:cstheme="minorHAnsi"/>
        </w:rPr>
        <w:t>oviposition</w:t>
      </w:r>
      <w:proofErr w:type="spellEnd"/>
      <w:r w:rsidR="00604EE8">
        <w:rPr>
          <w:rFonts w:asciiTheme="minorHAnsi" w:hAnsiTheme="minorHAnsi" w:cstheme="minorHAnsi" w:hint="eastAsia"/>
        </w:rPr>
        <w:t xml:space="preserve"> </w:t>
      </w:r>
      <w:r w:rsidRPr="005A3DB5">
        <w:rPr>
          <w:rFonts w:asciiTheme="minorHAnsi" w:hAnsiTheme="minorHAnsi" w:cstheme="minorHAnsi"/>
        </w:rPr>
        <w:t>index</w:t>
      </w:r>
      <w:r>
        <w:rPr>
          <w:rFonts w:ascii="新細明體" w:hAnsi="新細明體" w:hint="eastAsia"/>
        </w:rPr>
        <w:t>, MOI</w:t>
      </w:r>
      <w:r w:rsidR="00F83D4A">
        <w:rPr>
          <w:rFonts w:ascii="新細明體" w:hAnsi="新細明體" w:hint="eastAsia"/>
        </w:rPr>
        <w:t>，即誘卵桶指數</w:t>
      </w:r>
      <w:r>
        <w:rPr>
          <w:rFonts w:ascii="新細明體" w:hAnsi="新細明體" w:hint="eastAsia"/>
        </w:rPr>
        <w:t>）研究發現：在調查的區域內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有一定關聯性，但風險等級一致性關聯度較差，且當幼蟲密度很低或是很高時，布氏指數敏感度優於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指數。這個結論和前述國內學者所做研究並不完全相同。另外，該研究也提出以城鎮地區及農村地區來計算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的關聯發現不論都市區還是農村區都有相關係數</w:t>
      </w:r>
      <w:r w:rsidRPr="00662055">
        <w:rPr>
          <w:rFonts w:asciiTheme="minorHAnsi" w:hAnsiTheme="minorHAnsi" w:cstheme="minorHAnsi"/>
        </w:rPr>
        <w:t>0.44~0.69</w:t>
      </w:r>
      <w:r>
        <w:rPr>
          <w:rFonts w:ascii="新細明體" w:hAnsi="新細明體" w:hint="eastAsia"/>
        </w:rPr>
        <w:t>的正關聯度表現，但區分都市區與農村區並無統計學上意義。</w:t>
      </w:r>
    </w:p>
    <w:p w:rsidR="00F32A73" w:rsidRDefault="00F32A73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662055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）則在校園廣布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實驗結論發現：環境溫度、濕度、光度</w:t>
      </w:r>
      <w:proofErr w:type="gramStart"/>
      <w:r>
        <w:rPr>
          <w:rFonts w:ascii="新細明體" w:hAnsi="新細明體" w:hint="eastAsia"/>
        </w:rPr>
        <w:t>對於斑</w:t>
      </w:r>
      <w:proofErr w:type="gramEnd"/>
      <w:r>
        <w:rPr>
          <w:rFonts w:ascii="新細明體" w:hAnsi="新細明體" w:hint="eastAsia"/>
        </w:rPr>
        <w:t>蚊的產卵陽性率及產卵數並影響不大。產卵陽性率與產卵數呈現正相關。但是單</w:t>
      </w:r>
      <w:proofErr w:type="gramStart"/>
      <w:r>
        <w:rPr>
          <w:rFonts w:ascii="新細明體" w:hAnsi="新細明體" w:hint="eastAsia"/>
        </w:rPr>
        <w:t>個誘卵桶中</w:t>
      </w:r>
      <w:proofErr w:type="gramEnd"/>
      <w:r>
        <w:rPr>
          <w:rFonts w:ascii="新細明體" w:hAnsi="新細明體" w:hint="eastAsia"/>
        </w:rPr>
        <w:t>陽性率與產卵數則呈現負相關。</w:t>
      </w:r>
    </w:p>
    <w:p w:rsidR="00896EFD" w:rsidRPr="006077D4" w:rsidRDefault="00896EFD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由以上文獻結論歸納</w:t>
      </w:r>
      <w:r w:rsidR="00247F11" w:rsidRPr="006077D4">
        <w:rPr>
          <w:rFonts w:ascii="新細明體" w:hAnsi="新細明體" w:hint="eastAsia"/>
        </w:rPr>
        <w:t>如下</w:t>
      </w:r>
      <w:r w:rsidRPr="006077D4">
        <w:rPr>
          <w:rFonts w:ascii="新細明體" w:hAnsi="新細明體" w:hint="eastAsia"/>
        </w:rPr>
        <w:t>：</w:t>
      </w:r>
    </w:p>
    <w:p w:rsidR="006077D4" w:rsidRDefault="00F32A73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t>誘卵桶</w:t>
      </w:r>
      <w:proofErr w:type="gramEnd"/>
      <w:r w:rsidRPr="006077D4">
        <w:rPr>
          <w:rFonts w:ascii="新細明體" w:hAnsi="新細明體" w:hint="eastAsia"/>
        </w:rPr>
        <w:t>陽性率、</w:t>
      </w:r>
      <w:r w:rsidR="005163E5"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與布氏指數間存在正相關，但</w:t>
      </w:r>
      <w:r w:rsidR="00C32C88" w:rsidRPr="006077D4">
        <w:rPr>
          <w:rFonts w:ascii="新細明體" w:hAnsi="新細明體" w:hint="eastAsia"/>
        </w:rPr>
        <w:t>僅有一篇文獻建議</w:t>
      </w:r>
      <w:r w:rsidR="00896EFD" w:rsidRPr="006077D4">
        <w:rPr>
          <w:rFonts w:ascii="新細明體" w:hAnsi="新細明體" w:hint="eastAsia"/>
        </w:rPr>
        <w:t>可以用</w:t>
      </w:r>
      <w:proofErr w:type="gramStart"/>
      <w:r w:rsidR="00896EFD" w:rsidRPr="006077D4">
        <w:rPr>
          <w:rFonts w:ascii="新細明體" w:hAnsi="新細明體" w:hint="eastAsia"/>
        </w:rPr>
        <w:t>誘卵桶</w:t>
      </w:r>
      <w:proofErr w:type="gramEnd"/>
      <w:r w:rsidR="00896EFD" w:rsidRPr="006077D4">
        <w:rPr>
          <w:rFonts w:ascii="新細明體" w:hAnsi="新細明體" w:hint="eastAsia"/>
        </w:rPr>
        <w:t>指數替代傳統的布氏指數</w:t>
      </w:r>
      <w:r w:rsidRPr="006077D4">
        <w:rPr>
          <w:rFonts w:ascii="新細明體" w:hAnsi="新細明體" w:hint="eastAsia"/>
        </w:rPr>
        <w:t>。</w:t>
      </w:r>
    </w:p>
    <w:p w:rsid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多數文獻指出</w:t>
      </w:r>
      <w:r w:rsidR="00F32A73" w:rsidRPr="006077D4">
        <w:rPr>
          <w:rFonts w:ascii="新細明體" w:hAnsi="新細明體" w:hint="eastAsia"/>
        </w:rPr>
        <w:t>病媒</w:t>
      </w:r>
      <w:proofErr w:type="gramStart"/>
      <w:r w:rsidR="00F32A73" w:rsidRPr="006077D4">
        <w:rPr>
          <w:rFonts w:ascii="新細明體" w:hAnsi="新細明體" w:hint="eastAsia"/>
        </w:rPr>
        <w:t>蚊</w:t>
      </w:r>
      <w:proofErr w:type="gramEnd"/>
      <w:r w:rsidR="00F32A73" w:rsidRPr="006077D4">
        <w:rPr>
          <w:rFonts w:ascii="新細明體" w:hAnsi="新細明體" w:hint="eastAsia"/>
        </w:rPr>
        <w:t>密度較低時，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指數中陽性率及</w:t>
      </w:r>
      <w:r w:rsidR="0022400D">
        <w:rPr>
          <w:rFonts w:ascii="新細明體" w:hAnsi="新細明體" w:hint="eastAsia"/>
        </w:rPr>
        <w:t>總</w:t>
      </w:r>
      <w:proofErr w:type="gramStart"/>
      <w:r w:rsidR="0022400D">
        <w:rPr>
          <w:rFonts w:ascii="新細明體" w:hAnsi="新細明體" w:hint="eastAsia"/>
        </w:rPr>
        <w:t>卵粒數比布</w:t>
      </w:r>
      <w:proofErr w:type="gramEnd"/>
      <w:r w:rsidR="0022400D">
        <w:rPr>
          <w:rFonts w:ascii="新細明體" w:hAnsi="新細明體" w:hint="eastAsia"/>
        </w:rPr>
        <w:t>氏</w:t>
      </w:r>
      <w:r w:rsidRPr="006077D4">
        <w:rPr>
          <w:rFonts w:ascii="新細明體" w:hAnsi="新細明體" w:hint="eastAsia"/>
        </w:rPr>
        <w:t>指數有更好的敏感度但也有一篇文獻認為並無差別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僅一篇文獻探討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指數在都市及</w:t>
      </w:r>
      <w:proofErr w:type="gramStart"/>
      <w:r w:rsidR="00F32A73" w:rsidRPr="006077D4">
        <w:rPr>
          <w:rFonts w:ascii="新細明體" w:hAnsi="新細明體" w:hint="eastAsia"/>
        </w:rPr>
        <w:t>鄉村間</w:t>
      </w:r>
      <w:r w:rsidRPr="006077D4">
        <w:rPr>
          <w:rFonts w:ascii="新細明體" w:hAnsi="新細明體" w:hint="eastAsia"/>
        </w:rPr>
        <w:t>上</w:t>
      </w:r>
      <w:r w:rsidR="00247F11" w:rsidRPr="006077D4">
        <w:rPr>
          <w:rFonts w:ascii="新細明體" w:hAnsi="新細明體" w:hint="eastAsia"/>
        </w:rPr>
        <w:t>使用</w:t>
      </w:r>
      <w:proofErr w:type="gramEnd"/>
      <w:r w:rsidR="00C32C88" w:rsidRPr="006077D4">
        <w:rPr>
          <w:rFonts w:ascii="新細明體" w:hAnsi="新細明體" w:hint="eastAsia"/>
        </w:rPr>
        <w:t>並無差別</w:t>
      </w:r>
      <w:r w:rsidR="00F32A73" w:rsidRPr="006077D4">
        <w:rPr>
          <w:rFonts w:ascii="新細明體" w:hAnsi="新細明體" w:hint="eastAsia"/>
        </w:rPr>
        <w:t>。</w:t>
      </w:r>
    </w:p>
    <w:p w:rsidR="008F1A4C" w:rsidRDefault="00C32C88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本文將以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南市政府衛生局所公開的病媒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密度數據為基礎，藉以分析病媒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密度指數間關聯性，並以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歸分析方法</w:t>
      </w:r>
      <w:r w:rsidR="00197D56">
        <w:rPr>
          <w:rFonts w:ascii="新細明體" w:hAnsi="新細明體" w:hint="eastAsia"/>
        </w:rPr>
        <w:t>找出</w:t>
      </w:r>
      <w:r w:rsidR="00D36E9E">
        <w:rPr>
          <w:rFonts w:ascii="新細明體" w:hAnsi="新細明體" w:hint="eastAsia"/>
        </w:rPr>
        <w:t>布氏指數和</w:t>
      </w:r>
      <w:proofErr w:type="gramStart"/>
      <w:r w:rsidR="00D36E9E">
        <w:rPr>
          <w:rFonts w:ascii="新細明體" w:hAnsi="新細明體" w:hint="eastAsia"/>
        </w:rPr>
        <w:t>誘卵桶</w:t>
      </w:r>
      <w:proofErr w:type="gramEnd"/>
      <w:r w:rsidR="00D36E9E">
        <w:rPr>
          <w:rFonts w:ascii="新細明體" w:hAnsi="新細明體" w:hint="eastAsia"/>
        </w:rPr>
        <w:t>陽性率的</w:t>
      </w:r>
      <w:r w:rsidR="00197D56">
        <w:rPr>
          <w:rFonts w:ascii="新細明體" w:hAnsi="新細明體" w:hint="eastAsia"/>
        </w:rPr>
        <w:t>線性方程式；此外也</w:t>
      </w:r>
      <w:r w:rsidR="00F32A73">
        <w:rPr>
          <w:rFonts w:ascii="新細明體" w:hAnsi="新細明體" w:hint="eastAsia"/>
        </w:rPr>
        <w:t>會以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南市人口密度為區分，</w:t>
      </w:r>
      <w:r w:rsidR="0034015E">
        <w:rPr>
          <w:rFonts w:ascii="新細明體" w:hAnsi="新細明體" w:hint="eastAsia"/>
        </w:rPr>
        <w:t>探討布氏指數和</w:t>
      </w:r>
      <w:proofErr w:type="gramStart"/>
      <w:r w:rsidR="0034015E">
        <w:rPr>
          <w:rFonts w:ascii="新細明體" w:hAnsi="新細明體" w:hint="eastAsia"/>
        </w:rPr>
        <w:t>誘卵桶</w:t>
      </w:r>
      <w:proofErr w:type="gramEnd"/>
      <w:r w:rsidR="0034015E">
        <w:rPr>
          <w:rFonts w:ascii="新細明體" w:hAnsi="新細明體" w:hint="eastAsia"/>
        </w:rPr>
        <w:t>陽性率的敏感度差異</w:t>
      </w:r>
      <w:r w:rsidR="00F32A73">
        <w:rPr>
          <w:rFonts w:ascii="新細明體" w:hAnsi="新細明體" w:hint="eastAsia"/>
        </w:rPr>
        <w:t>。</w:t>
      </w:r>
    </w:p>
    <w:p w:rsidR="00F32A73" w:rsidRPr="008F1A4C" w:rsidRDefault="008F1A4C" w:rsidP="008F1A4C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研究方法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研究架構及流程</w:t>
      </w:r>
    </w:p>
    <w:p w:rsidR="00F32A73" w:rsidRDefault="00F32A73" w:rsidP="00650586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研究架構及流程如（圖三）所示</w:t>
      </w:r>
      <w:r w:rsidR="000B4047" w:rsidRPr="002F4B6A">
        <w:rPr>
          <w:rFonts w:ascii="新細明體" w:hAnsi="新細明體" w:hint="eastAsia"/>
        </w:rPr>
        <w:t>，</w:t>
      </w:r>
      <w:r w:rsidR="006F2AD2" w:rsidRPr="002F4B6A">
        <w:rPr>
          <w:rFonts w:ascii="新細明體" w:hAnsi="新細明體" w:hint="eastAsia"/>
        </w:rPr>
        <w:t>並分述如下</w:t>
      </w:r>
      <w:r w:rsidRPr="002F4B6A">
        <w:rPr>
          <w:rFonts w:ascii="新細明體" w:hAnsi="新細明體" w:hint="eastAsia"/>
        </w:rPr>
        <w:t>。</w:t>
      </w:r>
    </w:p>
    <w:p w:rsidR="0045243E" w:rsidRPr="002F4B6A" w:rsidRDefault="00604EE8" w:rsidP="00B86448">
      <w:pPr>
        <w:pStyle w:val="a9"/>
        <w:spacing w:beforeLines="100" w:before="360"/>
        <w:ind w:leftChars="0" w:left="737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45243E">
        <w:rPr>
          <w:rFonts w:ascii="新細明體" w:hAnsi="新細明體" w:hint="eastAsia"/>
        </w:rPr>
        <w:t>圖</w:t>
      </w:r>
      <w:proofErr w:type="gramStart"/>
      <w:r w:rsidR="0045243E">
        <w:rPr>
          <w:rFonts w:ascii="新細明體" w:hAnsi="新細明體" w:hint="eastAsia"/>
        </w:rPr>
        <w:t>三</w:t>
      </w:r>
      <w:proofErr w:type="gramEnd"/>
      <w:r w:rsidR="0045243E">
        <w:rPr>
          <w:rFonts w:ascii="新細明體" w:hAnsi="新細明體" w:hint="eastAsia"/>
        </w:rPr>
        <w:t>：研究架構及流程（自製</w:t>
      </w:r>
      <w:r w:rsidR="0045243E">
        <w:rPr>
          <w:rFonts w:ascii="新細明體" w:hAnsi="新細明體"/>
        </w:rPr>
        <w:t>）</w:t>
      </w:r>
    </w:p>
    <w:p w:rsidR="00BA0A3D" w:rsidRPr="00BA0A3D" w:rsidRDefault="00B86448" w:rsidP="0045243E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233869" cy="854476"/>
            <wp:effectExtent l="0" t="0" r="508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64" cy="8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資料收集及前處理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收集政府資料開放平台中</w:t>
      </w:r>
      <w:proofErr w:type="gramStart"/>
      <w:r>
        <w:rPr>
          <w:rFonts w:ascii="新細明體" w:hAnsi="新細明體" w:hint="eastAsia"/>
        </w:rPr>
        <w:t>（</w:t>
      </w:r>
      <w:proofErr w:type="gramEnd"/>
      <w:r w:rsidR="00874B5C">
        <w:fldChar w:fldCharType="begin"/>
      </w:r>
      <w:r w:rsidR="00874B5C">
        <w:instrText xml:space="preserve"> HYPERLINK "https://data.gov.tw/dataset/136411" </w:instrText>
      </w:r>
      <w:r w:rsidR="00874B5C">
        <w:fldChar w:fldCharType="separate"/>
      </w:r>
      <w:r w:rsidR="009F6278" w:rsidRPr="005161A3">
        <w:rPr>
          <w:rStyle w:val="a6"/>
          <w:rFonts w:asciiTheme="minorHAnsi" w:hAnsiTheme="minorHAnsi" w:cstheme="minorHAnsi"/>
          <w:color w:val="auto"/>
          <w:u w:val="none"/>
        </w:rPr>
        <w:t>https://data.gov.tw/dataset/136411</w:t>
      </w:r>
      <w:r w:rsidR="00874B5C">
        <w:rPr>
          <w:rStyle w:val="a6"/>
          <w:rFonts w:asciiTheme="minorHAnsi" w:hAnsiTheme="minorHAnsi" w:cstheme="minorHAnsi"/>
          <w:color w:val="auto"/>
          <w:u w:val="none"/>
        </w:rPr>
        <w:fldChar w:fldCharType="end"/>
      </w:r>
      <w:proofErr w:type="gramStart"/>
      <w:r>
        <w:rPr>
          <w:rFonts w:ascii="新細明體" w:hAnsi="新細明體" w:hint="eastAsia"/>
        </w:rPr>
        <w:t>）</w:t>
      </w:r>
      <w:proofErr w:type="gramEnd"/>
      <w:r w:rsidR="00197D56">
        <w:rPr>
          <w:rFonts w:ascii="新細明體" w:hAnsi="新細明體" w:hint="eastAsia"/>
        </w:rPr>
        <w:t>，</w:t>
      </w:r>
      <w:r w:rsidR="00885F2C">
        <w:rPr>
          <w:rFonts w:asciiTheme="minorHAnsi" w:hAnsiTheme="minorHAnsi" w:cstheme="minorHAnsi"/>
        </w:rPr>
        <w:t>2020</w:t>
      </w:r>
      <w:r w:rsidR="00197D56">
        <w:rPr>
          <w:rFonts w:ascii="新細明體" w:hAnsi="新細明體" w:hint="eastAsia"/>
        </w:rPr>
        <w:t>、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年的</w:t>
      </w:r>
      <w:proofErr w:type="gramStart"/>
      <w:r w:rsidR="00AE3CFE">
        <w:rPr>
          <w:rFonts w:ascii="新細明體" w:hAnsi="新細明體" w:hint="eastAsia"/>
        </w:rPr>
        <w:t>臺</w:t>
      </w:r>
      <w:proofErr w:type="gramEnd"/>
      <w:r w:rsidR="00AE3CFE">
        <w:rPr>
          <w:rFonts w:ascii="新細明體" w:hAnsi="新細明體" w:hint="eastAsia"/>
        </w:rPr>
        <w:t>南市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密度指數共計</w:t>
      </w:r>
      <w:r w:rsidRPr="002A1155">
        <w:rPr>
          <w:rFonts w:asciiTheme="minorHAnsi" w:hAnsiTheme="minorHAnsi" w:cstheme="minorHAnsi"/>
        </w:rPr>
        <w:t>19,316</w:t>
      </w:r>
      <w:r>
        <w:rPr>
          <w:rFonts w:ascii="新細明體" w:hAnsi="新細明體" w:hint="eastAsia"/>
        </w:rPr>
        <w:t>筆。同期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指數數據共計</w:t>
      </w:r>
      <w:r w:rsidRPr="002A1155">
        <w:rPr>
          <w:rFonts w:asciiTheme="minorHAnsi" w:hAnsiTheme="minorHAnsi" w:cstheme="minorHAnsi"/>
        </w:rPr>
        <w:t>1,049</w:t>
      </w:r>
      <w:r>
        <w:rPr>
          <w:rFonts w:ascii="新細明體" w:hAnsi="新細明體" w:hint="eastAsia"/>
        </w:rPr>
        <w:t>筆。及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南市各區人口密度統計數據</w:t>
      </w:r>
      <w:r w:rsidRPr="002A1155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筆。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密度指數的調查週期為</w:t>
      </w:r>
      <w:proofErr w:type="gramStart"/>
      <w:r w:rsidR="00B03EF2">
        <w:rPr>
          <w:rFonts w:ascii="新細明體" w:hAnsi="新細明體" w:hint="eastAsia"/>
        </w:rPr>
        <w:t>＂</w:t>
      </w:r>
      <w:proofErr w:type="gramEnd"/>
      <w:r>
        <w:rPr>
          <w:rFonts w:ascii="新細明體" w:hAnsi="新細明體" w:hint="eastAsia"/>
        </w:rPr>
        <w:t>日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，資料欄位包含有：日期、區別、</w:t>
      </w:r>
      <w:proofErr w:type="gramStart"/>
      <w:r>
        <w:rPr>
          <w:rFonts w:ascii="新細明體" w:hAnsi="新細明體" w:hint="eastAsia"/>
        </w:rPr>
        <w:t>里別</w:t>
      </w:r>
      <w:proofErr w:type="gramEnd"/>
      <w:r>
        <w:rPr>
          <w:rFonts w:ascii="新細明體" w:hAnsi="新細明體" w:hint="eastAsia"/>
        </w:rPr>
        <w:t>、調查戶數、陽性戶數、調查容器數、容器陽性數、布氏指數、布氏級數、容器指數、容器級數、經度、緯度</w:t>
      </w:r>
      <w:r>
        <w:rPr>
          <w:rFonts w:ascii="新細明體" w:hAnsi="新細明體"/>
        </w:rPr>
        <w:t>…</w:t>
      </w:r>
      <w:r w:rsidR="008F670F">
        <w:rPr>
          <w:rFonts w:ascii="新細明體" w:hAnsi="新細明體" w:hint="eastAsia"/>
        </w:rPr>
        <w:t>等。但</w:t>
      </w:r>
      <w:proofErr w:type="gramStart"/>
      <w:r w:rsidR="008F670F">
        <w:rPr>
          <w:rFonts w:ascii="新細明體" w:hAnsi="新細明體" w:hint="eastAsia"/>
        </w:rPr>
        <w:t>誘卵桶</w:t>
      </w:r>
      <w:proofErr w:type="gramEnd"/>
      <w:r w:rsidR="008F670F">
        <w:rPr>
          <w:rFonts w:ascii="新細明體" w:hAnsi="新細明體" w:hint="eastAsia"/>
        </w:rPr>
        <w:t>指數調查週期</w:t>
      </w:r>
      <w:r>
        <w:rPr>
          <w:rFonts w:ascii="新細明體" w:hAnsi="新細明體" w:hint="eastAsia"/>
        </w:rPr>
        <w:t>為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周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，資料欄位有：</w:t>
      </w:r>
      <w:proofErr w:type="gramStart"/>
      <w:r>
        <w:rPr>
          <w:rFonts w:ascii="新細明體" w:hAnsi="新細明體" w:hint="eastAsia"/>
        </w:rPr>
        <w:t>周次</w:t>
      </w:r>
      <w:proofErr w:type="gramEnd"/>
      <w:r>
        <w:rPr>
          <w:rFonts w:ascii="新細明體" w:hAnsi="新細明體" w:hint="eastAsia"/>
        </w:rPr>
        <w:t>、區別、</w:t>
      </w:r>
      <w:r w:rsidR="00B03EF2">
        <w:rPr>
          <w:rFonts w:ascii="新細明體" w:hAnsi="新細明體" w:hint="eastAsia"/>
        </w:rPr>
        <w:t>陽性率及總</w:t>
      </w:r>
      <w:proofErr w:type="gramStart"/>
      <w:r w:rsidR="00B03EF2">
        <w:rPr>
          <w:rFonts w:ascii="新細明體" w:hAnsi="新細明體" w:hint="eastAsia"/>
        </w:rPr>
        <w:t>卵粒數</w:t>
      </w:r>
      <w:proofErr w:type="gramEnd"/>
      <w:r w:rsidR="00B03EF2">
        <w:rPr>
          <w:rFonts w:ascii="新細明體" w:hAnsi="新細明體" w:hint="eastAsia"/>
        </w:rPr>
        <w:t>，並且</w:t>
      </w:r>
      <w:proofErr w:type="gramStart"/>
      <w:r w:rsidR="00B03EF2">
        <w:rPr>
          <w:rFonts w:ascii="新細明體" w:hAnsi="新細明體" w:hint="eastAsia"/>
        </w:rPr>
        <w:t>誘卵桶</w:t>
      </w:r>
      <w:proofErr w:type="gramEnd"/>
      <w:r w:rsidR="00B03EF2">
        <w:rPr>
          <w:rFonts w:ascii="新細明體" w:hAnsi="新細明體" w:hint="eastAsia"/>
        </w:rPr>
        <w:t>指數的調查僅有部分行政區有資料，大部分的行政區</w:t>
      </w:r>
      <w:r>
        <w:rPr>
          <w:rFonts w:ascii="新細明體" w:hAnsi="新細明體" w:hint="eastAsia"/>
        </w:rPr>
        <w:t>則沒有數據紀錄。另外、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南市人口密度資料則呈現各區的差異很大，譬如密度最高的東區，人口密度為</w:t>
      </w:r>
      <w:r w:rsidRPr="002A1155">
        <w:rPr>
          <w:rFonts w:asciiTheme="minorHAnsi" w:hAnsiTheme="minorHAnsi" w:cstheme="minorHAnsi"/>
        </w:rPr>
        <w:t>13,433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，最低的南化區，人口密度為</w:t>
      </w:r>
      <w:r w:rsidRPr="002A1155">
        <w:rPr>
          <w:rFonts w:asciiTheme="minorHAnsi" w:hAnsiTheme="minorHAnsi" w:cstheme="minorHAnsi"/>
        </w:rPr>
        <w:t>47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。</w:t>
      </w:r>
    </w:p>
    <w:p w:rsidR="00C11709" w:rsidRDefault="00C11709" w:rsidP="00604EE8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/>
        </w:rPr>
        <w:tab/>
      </w:r>
      <w:r w:rsidR="00A67431">
        <w:rPr>
          <w:rFonts w:ascii="新細明體" w:hAnsi="新細明體" w:hint="eastAsia"/>
        </w:rPr>
        <w:t xml:space="preserve">　　　　　 </w:t>
      </w:r>
      <w:r>
        <w:rPr>
          <w:rFonts w:ascii="新細明體" w:hAnsi="新細明體" w:hint="eastAsia"/>
        </w:rPr>
        <w:t>圖四：資料處理流程（自製</w:t>
      </w:r>
      <w:r>
        <w:rPr>
          <w:rFonts w:ascii="新細明體" w:hAnsi="新細明體"/>
        </w:rPr>
        <w:t>）</w:t>
      </w:r>
    </w:p>
    <w:p w:rsidR="00C11709" w:rsidRDefault="00A67431" w:rsidP="00C11709">
      <w:pPr>
        <w:pStyle w:val="a9"/>
        <w:ind w:leftChars="0" w:left="870" w:firstLineChars="200" w:firstLine="480"/>
        <w:jc w:val="center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3807995" cy="1761751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059" cy="177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以（圖四</w:t>
      </w:r>
      <w:r>
        <w:rPr>
          <w:rFonts w:ascii="新細明體" w:hAnsi="新細明體"/>
        </w:rPr>
        <w:t>）</w:t>
      </w:r>
      <w:r>
        <w:rPr>
          <w:rFonts w:ascii="新細明體" w:hAnsi="新細明體" w:hint="eastAsia"/>
        </w:rPr>
        <w:t>流程</w:t>
      </w:r>
      <w:r w:rsidR="00B03EF2">
        <w:rPr>
          <w:rFonts w:ascii="新細明體" w:hAnsi="新細明體" w:hint="eastAsia"/>
        </w:rPr>
        <w:t>所示，先以各行政區及周次為單位</w:t>
      </w:r>
      <w:r>
        <w:rPr>
          <w:rFonts w:ascii="新細明體" w:hAnsi="新細明體" w:hint="eastAsia"/>
        </w:rPr>
        <w:t>，將病媒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密度資料再跟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數據進行整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完後的資料是以［周］為單位的資料數據，其中針對有病媒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密度指數但沒有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指數數據的資料也預先</w:t>
      </w:r>
      <w:proofErr w:type="gramStart"/>
      <w:r>
        <w:rPr>
          <w:rFonts w:ascii="新細明體" w:hAnsi="新細明體" w:hint="eastAsia"/>
        </w:rPr>
        <w:t>汰</w:t>
      </w:r>
      <w:proofErr w:type="gramEnd"/>
      <w:r>
        <w:rPr>
          <w:rFonts w:ascii="新細明體" w:hAnsi="新細明體" w:hint="eastAsia"/>
        </w:rPr>
        <w:t>除。</w:t>
      </w:r>
      <w:proofErr w:type="gramStart"/>
      <w:r>
        <w:rPr>
          <w:rFonts w:ascii="新細明體" w:hAnsi="新細明體" w:hint="eastAsia"/>
        </w:rPr>
        <w:t>此外，</w:t>
      </w:r>
      <w:proofErr w:type="gramEnd"/>
      <w:r>
        <w:rPr>
          <w:rFonts w:ascii="新細明體" w:hAnsi="新細明體" w:hint="eastAsia"/>
        </w:rPr>
        <w:t>依照人口密度並</w:t>
      </w:r>
      <w:r w:rsidR="00866C0F">
        <w:rPr>
          <w:rFonts w:ascii="新細明體" w:hAnsi="新細明體" w:hint="eastAsia"/>
        </w:rPr>
        <w:t>且有相關數據資料區別、選定高密度區為東區、北區、中西區（密度＞</w:t>
      </w:r>
      <w:r w:rsidRPr="008952A6">
        <w:rPr>
          <w:rFonts w:asciiTheme="minorHAnsi" w:hAnsiTheme="minorHAnsi" w:cstheme="minorHAnsi"/>
        </w:rPr>
        <w:t>12000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 w:rsidR="00866C0F">
        <w:rPr>
          <w:rFonts w:ascii="新細明體" w:hAnsi="新細明體" w:hint="eastAsia"/>
        </w:rPr>
        <w:t>）；低密度區為南區、安南區、歸仁區（密度＜</w:t>
      </w:r>
      <w:r w:rsidRPr="008952A6">
        <w:rPr>
          <w:rFonts w:asciiTheme="minorHAnsi" w:hAnsiTheme="minorHAnsi" w:cstheme="minorHAnsi"/>
        </w:rPr>
        <w:t>5000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）。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資料分析方法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</w:t>
      </w:r>
      <w:r w:rsidRPr="0014578B">
        <w:rPr>
          <w:rFonts w:asciiTheme="minorHAnsi" w:hAnsiTheme="minorHAnsi" w:cstheme="minorHAnsi"/>
        </w:rPr>
        <w:t>EXCEL</w:t>
      </w:r>
      <w:r w:rsidR="00C368AA">
        <w:rPr>
          <w:rFonts w:ascii="新細明體" w:hAnsi="新細明體" w:hint="eastAsia"/>
        </w:rPr>
        <w:t>提供的資料分析工具，</w:t>
      </w:r>
      <w:r>
        <w:rPr>
          <w:rFonts w:ascii="新細明體" w:hAnsi="新細明體" w:hint="eastAsia"/>
        </w:rPr>
        <w:t>如相關係數、敘述統計、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歸等功能，作為本次主要資料分析的方法，</w:t>
      </w:r>
      <w:r w:rsidR="0014578B">
        <w:rPr>
          <w:rFonts w:ascii="新細明體" w:hAnsi="新細明體" w:hint="eastAsia"/>
        </w:rPr>
        <w:t>並</w:t>
      </w:r>
      <w:r w:rsidRPr="002F4B6A">
        <w:rPr>
          <w:rFonts w:ascii="新細明體" w:hAnsi="新細明體" w:hint="eastAsia"/>
        </w:rPr>
        <w:t>將相關應用</w:t>
      </w:r>
      <w:r w:rsidR="00D416A8" w:rsidRPr="002F4B6A">
        <w:rPr>
          <w:rFonts w:ascii="新細明體" w:hAnsi="新細明體" w:hint="eastAsia"/>
        </w:rPr>
        <w:t>方式</w:t>
      </w:r>
      <w:r w:rsidR="00B03EF2" w:rsidRPr="002F4B6A">
        <w:rPr>
          <w:rFonts w:ascii="新細明體" w:hAnsi="新細明體" w:hint="eastAsia"/>
        </w:rPr>
        <w:t>簡述</w:t>
      </w:r>
      <w:r w:rsidR="009E43C6" w:rsidRPr="002F4B6A">
        <w:rPr>
          <w:rFonts w:ascii="新細明體" w:hAnsi="新細明體" w:hint="eastAsia"/>
        </w:rPr>
        <w:t>如（表三）</w:t>
      </w:r>
      <w:r w:rsidRPr="002F4B6A">
        <w:rPr>
          <w:rFonts w:ascii="新細明體" w:hAnsi="新細明體" w:hint="eastAsia"/>
        </w:rPr>
        <w:t>。</w:t>
      </w:r>
    </w:p>
    <w:p w:rsidR="001F657E" w:rsidRPr="002D7E2A" w:rsidRDefault="001F657E" w:rsidP="00CB3E6C">
      <w:pPr>
        <w:spacing w:beforeLines="100" w:before="360"/>
        <w:ind w:firstLineChars="500" w:firstLine="1200"/>
        <w:jc w:val="both"/>
        <w:rPr>
          <w:rFonts w:ascii="新細明體" w:hAnsi="新細明體"/>
        </w:rPr>
      </w:pPr>
      <w:r w:rsidRPr="002D7E2A">
        <w:rPr>
          <w:rFonts w:ascii="新細明體" w:hAnsi="新細明體" w:hint="eastAsia"/>
        </w:rPr>
        <w:t>表</w:t>
      </w:r>
      <w:proofErr w:type="gramStart"/>
      <w:r w:rsidRPr="002D7E2A">
        <w:rPr>
          <w:rFonts w:ascii="新細明體" w:hAnsi="新細明體" w:hint="eastAsia"/>
        </w:rPr>
        <w:t>三</w:t>
      </w:r>
      <w:proofErr w:type="gramEnd"/>
      <w:r w:rsidRPr="002D7E2A">
        <w:rPr>
          <w:rFonts w:ascii="新細明體" w:hAnsi="新細明體" w:hint="eastAsia"/>
        </w:rPr>
        <w:t>：資料分析方法（自製</w:t>
      </w:r>
      <w:r w:rsidRPr="002D7E2A">
        <w:rPr>
          <w:rFonts w:ascii="新細明體" w:hAnsi="新細明體"/>
        </w:rPr>
        <w:t>）</w:t>
      </w:r>
    </w:p>
    <w:tbl>
      <w:tblPr>
        <w:tblW w:w="7453" w:type="dxa"/>
        <w:tblInd w:w="11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2"/>
        <w:gridCol w:w="5701"/>
      </w:tblGrid>
      <w:tr w:rsidR="001F657E" w:rsidRPr="001F657E" w:rsidTr="00E260F7">
        <w:trPr>
          <w:trHeight w:val="281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工具</w:t>
            </w:r>
          </w:p>
        </w:tc>
        <w:tc>
          <w:tcPr>
            <w:tcW w:w="5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應用方式</w:t>
            </w:r>
          </w:p>
        </w:tc>
      </w:tr>
      <w:tr w:rsidR="001F657E" w:rsidRPr="001F657E" w:rsidTr="00E260F7">
        <w:trPr>
          <w:trHeight w:val="821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相關係數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r&lt;0.3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低度相關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0.3&lt;r&lt;0.7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>中度相關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0.7&lt;r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高度相關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1219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歸分析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求出線性方程式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另用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 xml:space="preserve">p-value 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檢定方程式,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p&lt;0.05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才能使用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1F657E" w:rsidRDefault="001F657E" w:rsidP="008F670F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利用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R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  <w:vertAlign w:val="superscript"/>
              </w:rPr>
              <w:t>2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判定方程式代表性</w:t>
            </w:r>
            <w:r w:rsidR="008F670F">
              <w:rPr>
                <w:rFonts w:ascii="新細明體" w:hAnsi="新細明體" w:hint="eastAsia"/>
              </w:rPr>
              <w:t>c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一般要大於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0.7</w:t>
            </w:r>
            <w:r>
              <w:rPr>
                <w:rFonts w:asciiTheme="minorHAnsi" w:hAnsiTheme="minorHAnsi" w:cstheme="minorHAnsi"/>
                <w:color w:val="000000"/>
                <w:kern w:val="0"/>
              </w:rPr>
              <w:t xml:space="preserve">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(70%)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才具有解釋力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715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F670F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敏感度分析</w:t>
            </w:r>
          </w:p>
          <w:p w:rsidR="001F657E" w:rsidRPr="001F657E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(</w:t>
            </w:r>
            <w:r w:rsidR="001F657E"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F657E" w:rsidRPr="001F657E" w:rsidRDefault="001F657E" w:rsidP="00984326">
            <w:pPr>
              <w:pStyle w:val="a9"/>
              <w:widowControl/>
              <w:numPr>
                <w:ilvl w:val="0"/>
                <w:numId w:val="29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變異數越大</w:t>
            </w:r>
            <w:r w:rsidR="0023075D">
              <w:rPr>
                <w:rFonts w:ascii="新細明體" w:hAnsi="新細明體" w:hint="eastAsia"/>
              </w:rPr>
              <w:t>，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代表資料變異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也較分散</w:t>
            </w:r>
            <w:r w:rsidR="008F670F">
              <w:rPr>
                <w:rFonts w:ascii="新細明體" w:hAnsi="新細明體" w:hint="eastAsia"/>
              </w:rPr>
              <w:t>，</w:t>
            </w:r>
            <w:r w:rsidR="00FB3AAF">
              <w:rPr>
                <w:rFonts w:ascii="新細明體" w:hAnsi="新細明體" w:hint="eastAsia"/>
              </w:rPr>
              <w:t>代表</w:t>
            </w:r>
            <w:r w:rsidR="008F670F">
              <w:rPr>
                <w:rFonts w:ascii="新細明體" w:hAnsi="新細明體" w:hint="eastAsia"/>
              </w:rPr>
              <w:t>在相同條件下</w:t>
            </w:r>
            <w:r w:rsidR="00D22C04">
              <w:rPr>
                <w:rFonts w:ascii="新細明體" w:hAnsi="新細明體" w:hint="eastAsia"/>
              </w:rPr>
              <w:t>較</w:t>
            </w:r>
            <w:r w:rsidR="008F670F">
              <w:rPr>
                <w:rFonts w:ascii="新細明體" w:hAnsi="新細明體" w:hint="eastAsia"/>
              </w:rPr>
              <w:t>敏感</w:t>
            </w:r>
            <w:r w:rsidR="007A7AB2">
              <w:rPr>
                <w:rFonts w:ascii="新細明體" w:hAnsi="新細明體" w:hint="eastAsia"/>
              </w:rPr>
              <w:t>。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（</w:t>
            </w:r>
            <w:r w:rsidR="00984326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新細明體"/>
                  <w:color w:val="000000"/>
                  <w:kern w:val="0"/>
                </w:rPr>
                <m:t>=</m:t>
              </m:r>
            </m:oMath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  <w:r w:rsidR="00984326" w:rsidRPr="00984326">
              <w:rPr>
                <w:rFonts w:ascii="新細明體" w:hAnsi="新細明體" w:cs="新細明體" w:hint="eastAsia"/>
                <w:color w:val="000000"/>
                <w:kern w:val="0"/>
                <w:vertAlign w:val="superscript"/>
              </w:rPr>
              <w:t>２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）</w:t>
            </w:r>
          </w:p>
        </w:tc>
      </w:tr>
    </w:tbl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研究分析與結果</w:t>
      </w:r>
    </w:p>
    <w:p w:rsidR="00F32A73" w:rsidRDefault="000D009A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各</w:t>
      </w:r>
      <w:r w:rsidR="00AD2CF3">
        <w:rPr>
          <w:rFonts w:ascii="新細明體" w:hAnsi="新細明體" w:hint="eastAsia"/>
        </w:rPr>
        <w:t>指數</w:t>
      </w:r>
      <w:r w:rsidR="00EB3608">
        <w:rPr>
          <w:rFonts w:ascii="新細明體" w:hAnsi="新細明體" w:hint="eastAsia"/>
        </w:rPr>
        <w:t>之</w:t>
      </w:r>
      <w:r w:rsidR="00F32A73">
        <w:rPr>
          <w:rFonts w:ascii="新細明體" w:hAnsi="新細明體" w:hint="eastAsia"/>
        </w:rPr>
        <w:t>相關係數分析</w:t>
      </w:r>
    </w:p>
    <w:p w:rsidR="00FC6413" w:rsidRDefault="003C31C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取得</w:t>
      </w:r>
      <w:r w:rsidR="00885F2C">
        <w:rPr>
          <w:rFonts w:asciiTheme="minorHAnsi" w:hAnsiTheme="minorHAnsi" w:cstheme="minorHAnsi"/>
        </w:rPr>
        <w:t>2020</w:t>
      </w:r>
      <w:r w:rsidR="00F32A73" w:rsidRPr="00C368AA">
        <w:rPr>
          <w:rFonts w:asciiTheme="minorHAnsi" w:hAnsiTheme="minorHAnsi" w:cstheme="minorHAnsi"/>
        </w:rPr>
        <w:t>、</w:t>
      </w:r>
      <w:r w:rsidR="00885F2C">
        <w:rPr>
          <w:rFonts w:asciiTheme="minorHAnsi" w:hAnsiTheme="minorHAnsi" w:cstheme="minorHAnsi"/>
        </w:rPr>
        <w:t>2021</w:t>
      </w:r>
      <w:r w:rsidR="00F32A73">
        <w:rPr>
          <w:rFonts w:ascii="新細明體" w:hAnsi="新細明體" w:hint="eastAsia"/>
        </w:rPr>
        <w:t>年原始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數據</w:t>
      </w:r>
      <w:r w:rsidR="00606EDB">
        <w:rPr>
          <w:rFonts w:ascii="新細明體" w:hAnsi="新細明體" w:hint="eastAsia"/>
        </w:rPr>
        <w:t>後</w:t>
      </w:r>
      <w:r>
        <w:rPr>
          <w:rFonts w:ascii="新細明體" w:hAnsi="新細明體" w:hint="eastAsia"/>
        </w:rPr>
        <w:t>，</w:t>
      </w:r>
      <w:r w:rsidR="003614BB">
        <w:rPr>
          <w:rFonts w:ascii="新細明體" w:hAnsi="新細明體" w:hint="eastAsia"/>
        </w:rPr>
        <w:t>發現</w:t>
      </w:r>
      <w:r>
        <w:rPr>
          <w:rFonts w:ascii="新細明體" w:hAnsi="新細明體" w:hint="eastAsia"/>
        </w:rPr>
        <w:t>數據調查週期不同</w:t>
      </w:r>
      <w:r w:rsidR="003614BB">
        <w:rPr>
          <w:rFonts w:ascii="新細明體" w:hAnsi="新細明體" w:hint="eastAsia"/>
        </w:rPr>
        <w:t>且調查</w:t>
      </w:r>
      <w:r w:rsidR="00C64761">
        <w:rPr>
          <w:rFonts w:ascii="新細明體" w:hAnsi="新細明體" w:hint="eastAsia"/>
        </w:rPr>
        <w:t>行政</w:t>
      </w:r>
      <w:r w:rsidR="003614BB">
        <w:rPr>
          <w:rFonts w:ascii="新細明體" w:hAnsi="新細明體" w:hint="eastAsia"/>
        </w:rPr>
        <w:t>區互有差異，</w:t>
      </w:r>
      <w:r w:rsidR="004039BB">
        <w:rPr>
          <w:rFonts w:ascii="新細明體" w:hAnsi="新細明體" w:hint="eastAsia"/>
        </w:rPr>
        <w:t>將資料</w:t>
      </w:r>
      <w:r w:rsidR="00F32A73">
        <w:rPr>
          <w:rFonts w:ascii="新細明體" w:hAnsi="新細明體" w:hint="eastAsia"/>
        </w:rPr>
        <w:t>彙整刪減後得到資料母體共計</w:t>
      </w:r>
      <w:r w:rsidR="00F32A73" w:rsidRPr="00C368AA">
        <w:rPr>
          <w:rFonts w:asciiTheme="minorHAnsi" w:hAnsiTheme="minorHAnsi" w:cstheme="minorHAnsi"/>
        </w:rPr>
        <w:t>941</w:t>
      </w:r>
      <w:r w:rsidR="00F32A73">
        <w:rPr>
          <w:rFonts w:ascii="新細明體" w:hAnsi="新細明體" w:hint="eastAsia"/>
        </w:rPr>
        <w:t>筆，</w:t>
      </w:r>
      <w:r w:rsidR="004D4109">
        <w:rPr>
          <w:rFonts w:ascii="新細明體" w:hAnsi="新細明體" w:hint="eastAsia"/>
        </w:rPr>
        <w:t>並透過</w:t>
      </w:r>
      <w:r w:rsidR="008C15BD" w:rsidRPr="008C15BD">
        <w:t>EXCEL</w:t>
      </w:r>
      <w:r w:rsidR="004039BB">
        <w:rPr>
          <w:rFonts w:ascii="新細明體" w:hAnsi="新細明體" w:hint="eastAsia"/>
        </w:rPr>
        <w:t>提供的</w:t>
      </w:r>
      <w:r w:rsidR="00F32A73">
        <w:rPr>
          <w:rFonts w:ascii="新細明體" w:hAnsi="新細明體" w:hint="eastAsia"/>
        </w:rPr>
        <w:t>相關係數分析得到如（表四）</w:t>
      </w:r>
      <w:r w:rsidR="00361E07">
        <w:rPr>
          <w:rFonts w:ascii="新細明體" w:hAnsi="新細明體" w:hint="eastAsia"/>
        </w:rPr>
        <w:t>。</w:t>
      </w:r>
    </w:p>
    <w:p w:rsidR="00984326" w:rsidRPr="00984326" w:rsidRDefault="0098432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Theme="minorHAnsi" w:hAnsiTheme="minorHAnsi" w:cstheme="minorHAnsi"/>
        </w:rPr>
      </w:pPr>
      <w:r>
        <w:rPr>
          <w:rFonts w:ascii="新細明體" w:hAnsi="新細明體" w:hint="eastAsia"/>
        </w:rPr>
        <w:t>其中相關係數&gt;0</w:t>
      </w:r>
      <w:r>
        <w:rPr>
          <w:rFonts w:ascii="新細明體" w:hAnsi="新細明體"/>
        </w:rPr>
        <w:t>.7</w:t>
      </w:r>
      <w:r>
        <w:rPr>
          <w:rFonts w:ascii="新細明體" w:hAnsi="新細明體" w:hint="eastAsia"/>
        </w:rPr>
        <w:t>的有（住宅指數／布氏指數），（住宅指數／容器指數），（布氏指數／容器指數），（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陽性率／總卵粒數）。</w:t>
      </w:r>
    </w:p>
    <w:p w:rsidR="004D4109" w:rsidRDefault="001A5569" w:rsidP="005B5333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</w:t>
      </w:r>
      <w:r w:rsidR="004D4109">
        <w:rPr>
          <w:rFonts w:ascii="新細明體" w:hAnsi="新細明體" w:hint="eastAsia"/>
        </w:rPr>
        <w:t>表四：</w:t>
      </w:r>
      <w:proofErr w:type="gramStart"/>
      <w:r w:rsidR="004D4109">
        <w:rPr>
          <w:rFonts w:ascii="新細明體" w:hAnsi="新細明體" w:hint="eastAsia"/>
        </w:rPr>
        <w:t>指數間的相關</w:t>
      </w:r>
      <w:proofErr w:type="gramEnd"/>
      <w:r w:rsidR="004D4109">
        <w:rPr>
          <w:rFonts w:ascii="新細明體" w:hAnsi="新細明體" w:hint="eastAsia"/>
        </w:rPr>
        <w:t>係數（自製</w:t>
      </w:r>
      <w:r w:rsidR="004D4109">
        <w:rPr>
          <w:rFonts w:ascii="新細明體" w:hAnsi="新細明體"/>
        </w:rPr>
        <w:t>）</w:t>
      </w:r>
    </w:p>
    <w:tbl>
      <w:tblPr>
        <w:tblW w:w="6580" w:type="dxa"/>
        <w:tblInd w:w="15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"/>
        <w:gridCol w:w="1080"/>
        <w:gridCol w:w="1080"/>
        <w:gridCol w:w="1080"/>
        <w:gridCol w:w="1080"/>
        <w:gridCol w:w="1080"/>
      </w:tblGrid>
      <w:tr w:rsidR="001A5569" w:rsidRPr="001A5569" w:rsidTr="002D7E2A">
        <w:trPr>
          <w:trHeight w:val="345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0.980529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0.802816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0.825614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0.414988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0.408356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0.406958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45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0.224992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0.230517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0.239388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0.720491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</w:tr>
    </w:tbl>
    <w:p w:rsidR="00202480" w:rsidRDefault="0073124B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將合併後資料以行政區</w:t>
      </w:r>
      <w:r w:rsidR="008C4C45">
        <w:rPr>
          <w:rFonts w:ascii="新細明體" w:hAnsi="新細明體" w:hint="eastAsia"/>
        </w:rPr>
        <w:t>進行</w:t>
      </w:r>
      <w:r>
        <w:rPr>
          <w:rFonts w:ascii="新細明體" w:hAnsi="新細明體" w:hint="eastAsia"/>
        </w:rPr>
        <w:t>篩選</w:t>
      </w:r>
      <w:r w:rsidR="008C4C45">
        <w:rPr>
          <w:rFonts w:ascii="新細明體" w:hAnsi="新細明體" w:hint="eastAsia"/>
        </w:rPr>
        <w:t>並以</w:t>
      </w:r>
      <w:r w:rsidR="00F32A73">
        <w:rPr>
          <w:rFonts w:ascii="新細明體" w:hAnsi="新細明體" w:hint="eastAsia"/>
        </w:rPr>
        <w:t>高密度及低密度</w:t>
      </w:r>
      <w:proofErr w:type="gramStart"/>
      <w:r w:rsidR="008C4C45">
        <w:rPr>
          <w:rFonts w:ascii="新細明體" w:hAnsi="新細明體" w:hint="eastAsia"/>
        </w:rPr>
        <w:t>分群</w:t>
      </w:r>
      <w:r w:rsidR="00F32A73">
        <w:rPr>
          <w:rFonts w:ascii="新細明體" w:hAnsi="新細明體" w:hint="eastAsia"/>
        </w:rPr>
        <w:t>後</w:t>
      </w:r>
      <w:proofErr w:type="gramEnd"/>
      <w:r w:rsidR="008C4C45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進行</w:t>
      </w:r>
      <w:r w:rsidR="00F32A73">
        <w:rPr>
          <w:rFonts w:ascii="新細明體" w:hAnsi="新細明體" w:hint="eastAsia"/>
        </w:rPr>
        <w:t>相關係數結果依序為（表五）（表六）。</w:t>
      </w:r>
    </w:p>
    <w:p w:rsidR="008B774F" w:rsidRPr="00202480" w:rsidRDefault="00202480" w:rsidP="000F1EBB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  <w:r w:rsidR="008B774F" w:rsidRPr="00202480">
        <w:rPr>
          <w:rFonts w:ascii="新細明體" w:hAnsi="新細明體" w:hint="eastAsia"/>
        </w:rPr>
        <w:lastRenderedPageBreak/>
        <w:t>表五：高密度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  <w:r>
        <w:rPr>
          <w:rFonts w:ascii="新細明體" w:hAnsi="新細明體"/>
        </w:rPr>
        <w:t xml:space="preserve">   </w:t>
      </w:r>
      <w:r w:rsidR="008B774F" w:rsidRPr="00202480">
        <w:rPr>
          <w:rFonts w:ascii="新細明體" w:hAnsi="新細明體"/>
        </w:rPr>
        <w:t xml:space="preserve"> </w:t>
      </w:r>
      <w:r w:rsidR="008B774F" w:rsidRPr="00202480">
        <w:rPr>
          <w:rFonts w:ascii="新細明體" w:hAnsi="新細明體" w:hint="eastAsia"/>
        </w:rPr>
        <w:t>表六：</w:t>
      </w:r>
      <w:r>
        <w:rPr>
          <w:rFonts w:ascii="新細明體" w:hAnsi="新細明體" w:hint="eastAsia"/>
        </w:rPr>
        <w:t>低</w:t>
      </w:r>
      <w:r w:rsidR="008B774F" w:rsidRPr="00202480">
        <w:rPr>
          <w:rFonts w:ascii="新細明體" w:hAnsi="新細明體" w:hint="eastAsia"/>
        </w:rPr>
        <w:t>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</w:p>
    <w:tbl>
      <w:tblPr>
        <w:tblW w:w="10006" w:type="dxa"/>
        <w:tblInd w:w="-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106"/>
        <w:gridCol w:w="825"/>
        <w:gridCol w:w="825"/>
        <w:gridCol w:w="825"/>
        <w:gridCol w:w="825"/>
        <w:gridCol w:w="825"/>
        <w:gridCol w:w="825"/>
      </w:tblGrid>
      <w:tr w:rsidR="00202480" w:rsidRPr="00202480" w:rsidTr="00202480">
        <w:trPr>
          <w:trHeight w:val="193"/>
        </w:trPr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D7E2A">
              <w:rPr>
                <w:b/>
                <w:color w:val="000000"/>
                <w:kern w:val="0"/>
                <w:sz w:val="16"/>
                <w:szCs w:val="16"/>
              </w:rPr>
              <w:t>0.987221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0.957939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0.894603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0.913992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0.853876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0.895981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0.477064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0.474113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0.511476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0.390441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0.364017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0.344357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93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0.395353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0.397559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0.463479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0.868326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0.272375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0.237632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0.234498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0.827688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:rsidR="00ED7B78" w:rsidRDefault="00CD28C5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由</w:t>
      </w:r>
      <w:r w:rsidR="00F32A73">
        <w:rPr>
          <w:rFonts w:ascii="新細明體" w:hAnsi="新細明體" w:hint="eastAsia"/>
        </w:rPr>
        <w:t>相關係數分析結果可以得到</w:t>
      </w:r>
      <w:r w:rsidR="00F32A73" w:rsidRPr="009665CE">
        <w:rPr>
          <w:rFonts w:asciiTheme="minorHAnsi" w:hAnsiTheme="minorHAnsi" w:cstheme="minorHAnsi"/>
        </w:rPr>
        <w:t>3</w:t>
      </w:r>
      <w:r w:rsidR="00873C4B">
        <w:rPr>
          <w:rFonts w:ascii="新細明體" w:hAnsi="新細明體" w:hint="eastAsia"/>
        </w:rPr>
        <w:t>個結果</w:t>
      </w:r>
      <w:r w:rsidR="00F32A73">
        <w:rPr>
          <w:rFonts w:ascii="新細明體" w:hAnsi="新細明體" w:hint="eastAsia"/>
        </w:rPr>
        <w:t>：</w:t>
      </w:r>
    </w:p>
    <w:p w:rsidR="000D009A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具正高相關的指數有住宅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布氏，住宅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容器、布氏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容器、陽性率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。</w:t>
      </w:r>
    </w:p>
    <w:p w:rsidR="000D009A" w:rsidRPr="002F4B6A" w:rsidRDefault="000D009A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區分人口密度後的相關係數趨勢不變，但是高密度人口區的指數彼此相關係數數值更高。</w:t>
      </w:r>
    </w:p>
    <w:p w:rsidR="00F32A73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陽性率與病媒</w:t>
      </w:r>
      <w:proofErr w:type="gramStart"/>
      <w:r w:rsidRPr="002F4B6A">
        <w:rPr>
          <w:rFonts w:ascii="新細明體" w:hAnsi="新細明體" w:hint="eastAsia"/>
        </w:rPr>
        <w:t>蚊</w:t>
      </w:r>
      <w:proofErr w:type="gramEnd"/>
      <w:r w:rsidRPr="002F4B6A">
        <w:rPr>
          <w:rFonts w:ascii="新細明體" w:hAnsi="新細明體" w:hint="eastAsia"/>
        </w:rPr>
        <w:t>密度指數（住宅、容器、密度）較</w:t>
      </w:r>
      <w:r w:rsidR="009A49C3" w:rsidRPr="002F4B6A">
        <w:rPr>
          <w:rFonts w:ascii="新細明體" w:hAnsi="新細明體" w:hint="eastAsia"/>
        </w:rPr>
        <w:t>之</w:t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有更高的相關係數。</w:t>
      </w:r>
      <w:r w:rsidR="000D009A" w:rsidRPr="002F4B6A">
        <w:rPr>
          <w:rFonts w:ascii="新細明體" w:hAnsi="新細明體" w:hint="eastAsia"/>
        </w:rPr>
        <w:t>因此本文將以布氏指數代表住宅及容器指數，以</w:t>
      </w:r>
      <w:proofErr w:type="gramStart"/>
      <w:r w:rsidR="00984326">
        <w:rPr>
          <w:rFonts w:ascii="新細明體" w:hAnsi="新細明體" w:hint="eastAsia"/>
        </w:rPr>
        <w:t>誘卵桶</w:t>
      </w:r>
      <w:proofErr w:type="gramEnd"/>
      <w:r w:rsidR="000D009A" w:rsidRPr="002F4B6A">
        <w:rPr>
          <w:rFonts w:ascii="新細明體" w:hAnsi="新細明體" w:hint="eastAsia"/>
        </w:rPr>
        <w:t>陽性率代表總</w:t>
      </w:r>
      <w:proofErr w:type="gramStart"/>
      <w:r w:rsidR="000D009A" w:rsidRPr="002F4B6A">
        <w:rPr>
          <w:rFonts w:ascii="新細明體" w:hAnsi="新細明體" w:hint="eastAsia"/>
        </w:rPr>
        <w:t>卵粒數</w:t>
      </w:r>
      <w:proofErr w:type="gramEnd"/>
      <w:r w:rsidR="000D009A" w:rsidRPr="002F4B6A">
        <w:rPr>
          <w:rFonts w:ascii="新細明體" w:hAnsi="新細明體" w:hint="eastAsia"/>
        </w:rPr>
        <w:t>進行後續分析。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</w:t>
      </w:r>
    </w:p>
    <w:p w:rsidR="009A49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韓明榮等（</w:t>
      </w:r>
      <w:r w:rsidRPr="009665CE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）的研究中以布氏指數當成應變數（</w:t>
      </w:r>
      <w:r w:rsidRPr="009665CE">
        <w:rPr>
          <w:rFonts w:asciiTheme="minorHAnsi" w:hAnsiTheme="minorHAnsi" w:cstheme="minorHAnsi"/>
        </w:rPr>
        <w:t>y</w:t>
      </w:r>
      <w:r>
        <w:rPr>
          <w:rFonts w:ascii="新細明體" w:hAnsi="新細明體" w:hint="eastAsia"/>
        </w:rPr>
        <w:t>），而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陽性率當成自變數（</w:t>
      </w:r>
      <w:r w:rsidRPr="009665CE">
        <w:rPr>
          <w:rFonts w:asciiTheme="minorHAnsi" w:hAnsiTheme="minorHAnsi" w:cstheme="minorHAnsi"/>
        </w:rPr>
        <w:t>x</w:t>
      </w:r>
      <w:r w:rsidR="004A13C1">
        <w:rPr>
          <w:rFonts w:ascii="新細明體" w:hAnsi="新細明體" w:hint="eastAsia"/>
        </w:rPr>
        <w:t>）而求出一個線性方程式。</w:t>
      </w:r>
      <w:r w:rsidR="0060762B">
        <w:rPr>
          <w:rFonts w:ascii="新細明體" w:hAnsi="新細明體" w:hint="eastAsia"/>
        </w:rPr>
        <w:t>本文相關係數分析</w:t>
      </w:r>
      <w:r>
        <w:rPr>
          <w:rFonts w:ascii="新細明體" w:hAnsi="新細明體" w:hint="eastAsia"/>
        </w:rPr>
        <w:t>也認為布氏指數可以代替住宅及容器指數，而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陽性率也可代替</w:t>
      </w:r>
      <w:proofErr w:type="gramStart"/>
      <w:r w:rsidR="00C64761">
        <w:rPr>
          <w:rFonts w:ascii="新細明體" w:hAnsi="新細明體" w:hint="eastAsia"/>
        </w:rPr>
        <w:t>誘卵桶</w:t>
      </w:r>
      <w:r>
        <w:rPr>
          <w:rFonts w:ascii="新細明體" w:hAnsi="新細明體" w:hint="eastAsia"/>
        </w:rPr>
        <w:t>總卵粒數</w:t>
      </w:r>
      <w:proofErr w:type="gramEnd"/>
      <w:r>
        <w:rPr>
          <w:rFonts w:ascii="新細明體" w:hAnsi="新細明體" w:hint="eastAsia"/>
        </w:rPr>
        <w:t>，因此</w:t>
      </w:r>
      <w:r w:rsidR="009A49C3">
        <w:rPr>
          <w:rFonts w:ascii="新細明體" w:hAnsi="新細明體" w:hint="eastAsia"/>
        </w:rPr>
        <w:t>只</w:t>
      </w:r>
      <w:r>
        <w:rPr>
          <w:rFonts w:ascii="新細明體" w:hAnsi="新細明體" w:hint="eastAsia"/>
        </w:rPr>
        <w:t>針對布氏指數及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 w:rsidR="009A49C3">
        <w:rPr>
          <w:rFonts w:ascii="新細明體" w:hAnsi="新細明體" w:hint="eastAsia"/>
        </w:rPr>
        <w:t>陽性率</w:t>
      </w:r>
      <w:r>
        <w:rPr>
          <w:rFonts w:ascii="新細明體" w:hAnsi="新細明體" w:hint="eastAsia"/>
        </w:rPr>
        <w:t>進行</w:t>
      </w:r>
      <w:proofErr w:type="gramStart"/>
      <w:r>
        <w:rPr>
          <w:rFonts w:ascii="新細明體" w:hAnsi="新細明體" w:hint="eastAsia"/>
        </w:rPr>
        <w:t>迴</w:t>
      </w:r>
      <w:proofErr w:type="gramEnd"/>
      <w:r w:rsidR="0060762B">
        <w:rPr>
          <w:rFonts w:ascii="新細明體" w:hAnsi="新細明體" w:hint="eastAsia"/>
        </w:rPr>
        <w:t>歸分析應</w:t>
      </w:r>
      <w:r>
        <w:rPr>
          <w:rFonts w:ascii="新細明體" w:hAnsi="新細明體" w:hint="eastAsia"/>
        </w:rPr>
        <w:t>有代表意義。</w:t>
      </w:r>
    </w:p>
    <w:p w:rsidR="00F32A73" w:rsidRDefault="0077411A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依照合併後數據</w:t>
      </w:r>
      <w:r w:rsidR="00F32A73">
        <w:rPr>
          <w:rFonts w:ascii="新細明體" w:hAnsi="新細明體" w:hint="eastAsia"/>
        </w:rPr>
        <w:t>繪出</w:t>
      </w:r>
      <w:r w:rsidR="00885F2C">
        <w:rPr>
          <w:rFonts w:asciiTheme="minorHAnsi" w:hAnsiTheme="minorHAnsi" w:cstheme="minorHAnsi"/>
        </w:rPr>
        <w:t>2020</w:t>
      </w:r>
      <w:r w:rsidR="00F32A73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55071">
        <w:rPr>
          <w:rFonts w:ascii="新細明體" w:hAnsi="新細明體" w:hint="eastAsia"/>
        </w:rPr>
        <w:t>年</w:t>
      </w:r>
      <w:r w:rsidR="00427AB6">
        <w:rPr>
          <w:rFonts w:ascii="新細明體" w:hAnsi="新細明體" w:hint="eastAsia"/>
        </w:rPr>
        <w:t>間</w:t>
      </w:r>
      <w:proofErr w:type="gramStart"/>
      <w:r w:rsidR="00E55071">
        <w:rPr>
          <w:rFonts w:ascii="新細明體" w:hAnsi="新細明體" w:hint="eastAsia"/>
        </w:rPr>
        <w:t>臺</w:t>
      </w:r>
      <w:proofErr w:type="gramEnd"/>
      <w:r w:rsidR="00E55071">
        <w:rPr>
          <w:rFonts w:ascii="新細明體" w:hAnsi="新細明體" w:hint="eastAsia"/>
        </w:rPr>
        <w:t>南市的布氏指數及</w:t>
      </w:r>
      <w:proofErr w:type="gramStart"/>
      <w:r w:rsidR="00E55071">
        <w:rPr>
          <w:rFonts w:ascii="新細明體" w:hAnsi="新細明體" w:hint="eastAsia"/>
        </w:rPr>
        <w:t>誘卵桶</w:t>
      </w:r>
      <w:proofErr w:type="gramEnd"/>
      <w:r w:rsidR="00E55071">
        <w:rPr>
          <w:rFonts w:ascii="新細明體" w:hAnsi="新細明體" w:hint="eastAsia"/>
        </w:rPr>
        <w:t>陽性率的圖如（圖五</w:t>
      </w:r>
      <w:r w:rsidR="00F32A73">
        <w:rPr>
          <w:rFonts w:ascii="新細明體" w:hAnsi="新細明體" w:hint="eastAsia"/>
        </w:rPr>
        <w:t>）。由肉眼觀察兩個指數在</w:t>
      </w:r>
      <w:r w:rsidR="003C128D">
        <w:rPr>
          <w:rFonts w:asciiTheme="minorHAnsi" w:hAnsiTheme="minorHAnsi" w:cstheme="minorHAnsi" w:hint="eastAsia"/>
        </w:rPr>
        <w:t>統計期</w:t>
      </w:r>
      <w:r w:rsidR="003C128D">
        <w:rPr>
          <w:rFonts w:ascii="新細明體" w:hAnsi="新細明體" w:hint="eastAsia"/>
        </w:rPr>
        <w:t>間內，</w:t>
      </w:r>
      <w:r>
        <w:rPr>
          <w:rFonts w:ascii="新細明體" w:hAnsi="新細明體" w:hint="eastAsia"/>
        </w:rPr>
        <w:t>夏季</w:t>
      </w:r>
      <w:r w:rsidR="000F0BDC">
        <w:rPr>
          <w:rFonts w:ascii="新細明體" w:hAnsi="新細明體" w:hint="eastAsia"/>
        </w:rPr>
        <w:t>都</w:t>
      </w:r>
      <w:r w:rsidR="003C128D">
        <w:rPr>
          <w:rFonts w:ascii="新細明體" w:hAnsi="新細明體" w:hint="eastAsia"/>
        </w:rPr>
        <w:t>有</w:t>
      </w:r>
      <w:r>
        <w:rPr>
          <w:rFonts w:ascii="新細明體" w:hAnsi="新細明體" w:hint="eastAsia"/>
        </w:rPr>
        <w:t>出現</w:t>
      </w:r>
      <w:r w:rsidR="00F32A73">
        <w:rPr>
          <w:rFonts w:ascii="新細明體" w:hAnsi="新細明體" w:hint="eastAsia"/>
        </w:rPr>
        <w:t>高峰的現象，但是兩者圖形難說百分百相似，這也呼應前段計算兩者的相關係數</w:t>
      </w:r>
      <w:r w:rsidR="00F32A73" w:rsidRPr="009665CE">
        <w:rPr>
          <w:rFonts w:asciiTheme="minorHAnsi" w:hAnsiTheme="minorHAnsi" w:cstheme="minorHAnsi"/>
        </w:rPr>
        <w:t>r</w:t>
      </w:r>
      <w:r w:rsidR="00F32A73" w:rsidRPr="009665CE">
        <w:rPr>
          <w:rFonts w:asciiTheme="minorHAnsi" w:hAnsiTheme="minorHAnsi" w:cstheme="minorHAnsi"/>
        </w:rPr>
        <w:t>＝</w:t>
      </w:r>
      <w:r w:rsidR="00F32A73" w:rsidRPr="009665CE">
        <w:rPr>
          <w:rFonts w:asciiTheme="minorHAnsi" w:hAnsiTheme="minorHAnsi" w:cstheme="minorHAnsi"/>
        </w:rPr>
        <w:t>0.408356</w:t>
      </w:r>
      <w:r w:rsidR="00F32A73">
        <w:rPr>
          <w:rFonts w:ascii="新細明體" w:hAnsi="新細明體" w:hint="eastAsia"/>
        </w:rPr>
        <w:t>的結果。</w:t>
      </w:r>
    </w:p>
    <w:p w:rsidR="00E44868" w:rsidRPr="00E44868" w:rsidRDefault="00747A55" w:rsidP="001E488B">
      <w:pPr>
        <w:spacing w:beforeLines="100" w:before="360"/>
        <w:ind w:firstLineChars="300" w:firstLine="72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E44868" w:rsidRPr="00E44868">
        <w:rPr>
          <w:rFonts w:ascii="新細明體" w:hAnsi="新細明體" w:hint="eastAsia"/>
        </w:rPr>
        <w:t>圖五：</w:t>
      </w:r>
      <w:proofErr w:type="gramStart"/>
      <w:r w:rsidR="00E44868" w:rsidRPr="00E44868">
        <w:rPr>
          <w:rFonts w:ascii="新細明體" w:hAnsi="新細明體" w:hint="eastAsia"/>
        </w:rPr>
        <w:t>臺</w:t>
      </w:r>
      <w:proofErr w:type="gramEnd"/>
      <w:r w:rsidR="00E44868" w:rsidRPr="00E44868">
        <w:rPr>
          <w:rFonts w:ascii="新細明體" w:hAnsi="新細明體" w:hint="eastAsia"/>
        </w:rPr>
        <w:t>南市</w:t>
      </w:r>
      <w:r w:rsidR="00885F2C">
        <w:rPr>
          <w:rFonts w:asciiTheme="minorHAnsi" w:hAnsiTheme="minorHAnsi" w:cstheme="minorHAnsi"/>
        </w:rPr>
        <w:t>2020</w:t>
      </w:r>
      <w:r w:rsidR="00885F2C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44868" w:rsidRPr="00E44868">
        <w:rPr>
          <w:rFonts w:ascii="新細明體" w:hAnsi="新細明體" w:hint="eastAsia"/>
        </w:rPr>
        <w:t>年布氏指數及陽性率趨勢圖（自製</w:t>
      </w:r>
      <w:r w:rsidR="00E44868" w:rsidRPr="00E44868">
        <w:rPr>
          <w:rFonts w:ascii="新細明體" w:hAnsi="新細明體"/>
        </w:rPr>
        <w:t>）</w:t>
      </w:r>
    </w:p>
    <w:p w:rsidR="002629E6" w:rsidRPr="000A2E04" w:rsidRDefault="00885F2C" w:rsidP="00747A55">
      <w:pPr>
        <w:ind w:leftChars="-150" w:left="-360" w:firstLineChars="500" w:firstLine="1200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564605" cy="178054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18" cy="17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以布氏指數</w:t>
      </w:r>
      <w:r w:rsidR="00B14DD6">
        <w:rPr>
          <w:rFonts w:ascii="新細明體" w:hAnsi="新細明體" w:hint="eastAsia"/>
        </w:rPr>
        <w:t>(y)</w:t>
      </w:r>
      <w:r>
        <w:rPr>
          <w:rFonts w:ascii="新細明體" w:hAnsi="新細明體" w:hint="eastAsia"/>
        </w:rPr>
        <w:t>與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B14DD6">
        <w:rPr>
          <w:rFonts w:ascii="新細明體" w:hAnsi="新細明體" w:hint="eastAsia"/>
        </w:rPr>
        <w:t>(x)</w:t>
      </w:r>
      <w:r>
        <w:rPr>
          <w:rFonts w:ascii="新細明體" w:hAnsi="新細明體" w:hint="eastAsia"/>
        </w:rPr>
        <w:t>為標的</w:t>
      </w:r>
      <w:r w:rsidR="00FE5FCB">
        <w:rPr>
          <w:rFonts w:ascii="新細明體" w:hAnsi="新細明體" w:hint="eastAsia"/>
        </w:rPr>
        <w:t>進行</w:t>
      </w:r>
      <w:proofErr w:type="gramStart"/>
      <w:r w:rsidR="00FE5FCB">
        <w:rPr>
          <w:rFonts w:ascii="新細明體" w:hAnsi="新細明體" w:hint="eastAsia"/>
        </w:rPr>
        <w:t>迴</w:t>
      </w:r>
      <w:proofErr w:type="gramEnd"/>
      <w:r w:rsidR="00FE5FCB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，得出結果如（表七）。由表七可得兩者線性方程式：</w:t>
      </w:r>
      <w:r w:rsidRPr="00C8447C">
        <w:rPr>
          <w:rFonts w:asciiTheme="minorHAnsi" w:hAnsiTheme="minorHAnsi" w:cstheme="minorHAnsi"/>
        </w:rPr>
        <w:t>y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2.1751x</w:t>
      </w:r>
      <w:r w:rsidRPr="00C8447C">
        <w:rPr>
          <w:rFonts w:asciiTheme="minorHAnsi" w:hAnsiTheme="minorHAnsi" w:cstheme="minorHAnsi"/>
        </w:rPr>
        <w:t>＋</w:t>
      </w:r>
      <w:r w:rsidR="00C8447C" w:rsidRPr="00C8447C">
        <w:rPr>
          <w:rFonts w:asciiTheme="minorHAnsi" w:hAnsiTheme="minorHAnsi" w:cstheme="minorHAnsi"/>
        </w:rPr>
        <w:t>0.2113</w:t>
      </w:r>
      <w:r w:rsidR="008D67A2">
        <w:rPr>
          <w:rFonts w:ascii="新細明體" w:hAnsi="新細明體" w:hint="eastAsia"/>
        </w:rPr>
        <w:t>，</w:t>
      </w:r>
      <w:r w:rsidR="00F13AAB">
        <w:rPr>
          <w:rFonts w:ascii="新細明體" w:hAnsi="新細明體" w:hint="eastAsia"/>
        </w:rPr>
        <w:t>方程式顯著值</w:t>
      </w:r>
      <w:r w:rsidR="00F13AAB">
        <w:rPr>
          <w:rFonts w:asciiTheme="minorHAnsi" w:hAnsiTheme="minorHAnsi" w:cstheme="minorHAnsi"/>
        </w:rPr>
        <w:t>4.03x10</w:t>
      </w:r>
      <w:r w:rsidR="00F13AAB" w:rsidRPr="003C128D">
        <w:rPr>
          <w:rFonts w:asciiTheme="minorHAnsi" w:hAnsiTheme="minorHAnsi" w:cstheme="minorHAnsi"/>
          <w:vertAlign w:val="superscript"/>
        </w:rPr>
        <w:t>-39</w:t>
      </w:r>
      <w:r w:rsidR="00F13AAB">
        <w:rPr>
          <w:rFonts w:ascii="新細明體" w:hAnsi="新細明體" w:hint="eastAsia"/>
        </w:rPr>
        <w:t>，方程式</w:t>
      </w:r>
      <w:r w:rsidR="008D67A2">
        <w:rPr>
          <w:rFonts w:ascii="新細明體" w:hAnsi="新細明體" w:hint="eastAsia"/>
        </w:rPr>
        <w:t>常數</w:t>
      </w:r>
      <w:r>
        <w:rPr>
          <w:rFonts w:ascii="新細明體" w:hAnsi="新細明體" w:hint="eastAsia"/>
        </w:rPr>
        <w:t>係數</w:t>
      </w:r>
      <w:r w:rsidR="00B14DD6">
        <w:rPr>
          <w:rFonts w:ascii="新細明體" w:hAnsi="新細明體" w:hint="eastAsia"/>
        </w:rPr>
        <w:t>值為</w:t>
      </w:r>
      <w:r w:rsidR="00B14DD6" w:rsidRPr="00B14DD6">
        <w:t>0.2113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3.25</w:t>
      </w:r>
      <w:r w:rsidR="003C128D">
        <w:rPr>
          <w:rFonts w:asciiTheme="minorHAnsi" w:hAnsiTheme="minorHAnsi" w:cstheme="minorHAnsi"/>
        </w:rPr>
        <w:t>x10</w:t>
      </w:r>
      <w:r w:rsidR="002B1757">
        <w:rPr>
          <w:rFonts w:asciiTheme="minorHAnsi" w:hAnsiTheme="minorHAnsi" w:cstheme="minorHAnsi"/>
          <w:vertAlign w:val="superscript"/>
        </w:rPr>
        <w:t>-</w:t>
      </w:r>
      <w:r w:rsidRPr="003C128D">
        <w:rPr>
          <w:rFonts w:asciiTheme="minorHAnsi" w:hAnsiTheme="minorHAnsi" w:cstheme="minorHAnsi"/>
          <w:vertAlign w:val="superscript"/>
        </w:rPr>
        <w:t>5</w:t>
      </w:r>
      <w:r>
        <w:rPr>
          <w:rFonts w:ascii="新細明體" w:hAnsi="新細明體" w:hint="eastAsia"/>
        </w:rPr>
        <w:t>，陽性率係數</w:t>
      </w:r>
      <w:r w:rsidR="00B14DD6">
        <w:rPr>
          <w:rFonts w:ascii="新細明體" w:hAnsi="新細明體" w:hint="eastAsia"/>
        </w:rPr>
        <w:t>為</w:t>
      </w:r>
      <w:r w:rsidR="00B14DD6" w:rsidRPr="00B14DD6">
        <w:t>2.1751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="002B1757">
        <w:rPr>
          <w:rFonts w:asciiTheme="minorHAnsi" w:hAnsiTheme="minorHAnsi" w:cstheme="minorHAnsi"/>
        </w:rPr>
        <w:t>4.03</w:t>
      </w:r>
      <w:r w:rsidR="003C128D">
        <w:rPr>
          <w:rFonts w:asciiTheme="minorHAnsi" w:hAnsiTheme="minorHAnsi" w:cstheme="minorHAnsi"/>
        </w:rPr>
        <w:t>x10</w:t>
      </w:r>
      <w:r w:rsidRPr="003C128D">
        <w:rPr>
          <w:rFonts w:asciiTheme="minorHAnsi" w:hAnsiTheme="minorHAnsi" w:cstheme="minorHAnsi"/>
          <w:vertAlign w:val="superscript"/>
        </w:rPr>
        <w:t>-39</w:t>
      </w:r>
      <w:r w:rsidR="00AC345B">
        <w:rPr>
          <w:rFonts w:ascii="新細明體" w:hAnsi="新細明體" w:hint="eastAsia"/>
        </w:rPr>
        <w:t>，方程式顯著值</w:t>
      </w:r>
      <w:r w:rsidR="00AC345B">
        <w:rPr>
          <w:rFonts w:ascii="標楷體" w:eastAsia="標楷體" w:hAnsi="標楷體" w:hint="eastAsia"/>
        </w:rPr>
        <w:t>、</w:t>
      </w:r>
      <w:r w:rsidR="00AC345B">
        <w:rPr>
          <w:rFonts w:ascii="新細明體" w:hAnsi="新細明體" w:hint="eastAsia"/>
        </w:rPr>
        <w:t>常數</w:t>
      </w:r>
      <w:r w:rsidR="00F13AAB">
        <w:rPr>
          <w:rFonts w:ascii="新細明體" w:hAnsi="新細明體" w:hint="eastAsia"/>
        </w:rPr>
        <w:t>係數</w:t>
      </w:r>
      <w:r w:rsidR="00AC345B">
        <w:rPr>
          <w:rFonts w:ascii="新細明體" w:hAnsi="新細明體" w:hint="eastAsia"/>
        </w:rPr>
        <w:t>及陽性率係數</w:t>
      </w:r>
      <w:r w:rsidR="00B14DD6" w:rsidRPr="00B14DD6">
        <w:t>p</w:t>
      </w:r>
      <w:r>
        <w:rPr>
          <w:rFonts w:ascii="新細明體" w:hAnsi="新細明體" w:hint="eastAsia"/>
        </w:rPr>
        <w:t>值皆＜</w:t>
      </w:r>
      <w:r w:rsidRPr="00C8447C">
        <w:t>0.05</w:t>
      </w:r>
      <w:r>
        <w:rPr>
          <w:rFonts w:ascii="新細明體" w:hAnsi="新細明體" w:hint="eastAsia"/>
        </w:rPr>
        <w:t>，具有統計上意義，但是</w:t>
      </w:r>
      <w:r w:rsidRPr="00C8447C">
        <w:rPr>
          <w:rFonts w:asciiTheme="minorHAnsi" w:hAnsiTheme="minorHAnsi" w:cstheme="minorHAnsi"/>
        </w:rPr>
        <w:t>R</w:t>
      </w:r>
      <w:r w:rsidRPr="00C8447C">
        <w:rPr>
          <w:rFonts w:asciiTheme="minorHAnsi" w:hAnsiTheme="minorHAnsi" w:cstheme="minorHAnsi"/>
          <w:vertAlign w:val="superscript"/>
        </w:rPr>
        <w:t>2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0.166</w:t>
      </w:r>
      <w:r w:rsidR="00C8447C">
        <w:rPr>
          <w:rFonts w:asciiTheme="minorHAnsi" w:hAnsiTheme="minorHAnsi" w:cstheme="minorHAnsi"/>
        </w:rPr>
        <w:t>8</w:t>
      </w:r>
      <w:r>
        <w:rPr>
          <w:rFonts w:ascii="新細明體" w:hAnsi="新細明體" w:hint="eastAsia"/>
        </w:rPr>
        <w:t>說明此線性方程式只能解釋不到</w:t>
      </w:r>
      <w:proofErr w:type="gramStart"/>
      <w:r w:rsidRPr="00C8447C">
        <w:rPr>
          <w:rFonts w:asciiTheme="minorHAnsi" w:hAnsiTheme="minorHAnsi" w:cstheme="minorHAnsi"/>
        </w:rPr>
        <w:t>2</w:t>
      </w:r>
      <w:r w:rsidR="00B14DD6">
        <w:rPr>
          <w:rFonts w:ascii="新細明體" w:hAnsi="新細明體" w:hint="eastAsia"/>
        </w:rPr>
        <w:t>成</w:t>
      </w:r>
      <w:proofErr w:type="gramEnd"/>
      <w:r w:rsidR="00B14DD6">
        <w:rPr>
          <w:rFonts w:ascii="新細明體" w:hAnsi="新細明體" w:hint="eastAsia"/>
        </w:rPr>
        <w:t>數據，</w:t>
      </w:r>
      <w:r>
        <w:rPr>
          <w:rFonts w:ascii="新細明體" w:hAnsi="新細明體" w:hint="eastAsia"/>
        </w:rPr>
        <w:t>並沒有實務上使用價值。</w:t>
      </w:r>
    </w:p>
    <w:p w:rsidR="00C8447C" w:rsidRDefault="00C8447C" w:rsidP="001E488B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　　　表七：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歸分析結果（自製）</w:t>
      </w:r>
    </w:p>
    <w:tbl>
      <w:tblPr>
        <w:tblW w:w="466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7"/>
        <w:gridCol w:w="2026"/>
      </w:tblGrid>
      <w:tr w:rsidR="00C8447C" w:rsidRPr="00C8447C" w:rsidTr="00C8447C">
        <w:trPr>
          <w:trHeight w:val="345"/>
          <w:jc w:val="center"/>
        </w:trPr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1E488B" w:rsidP="001E488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歸分析：</w:t>
            </w:r>
            <w:r w:rsidR="00C8447C" w:rsidRPr="00C8447C">
              <w:rPr>
                <w:color w:val="000000"/>
                <w:kern w:val="0"/>
              </w:rPr>
              <w:t>y=</w:t>
            </w:r>
            <w:proofErr w:type="spellStart"/>
            <w:r w:rsidR="00C8447C" w:rsidRPr="00C8447C">
              <w:rPr>
                <w:color w:val="000000"/>
                <w:kern w:val="0"/>
              </w:rPr>
              <w:t>ax+b</w:t>
            </w:r>
            <w:proofErr w:type="spellEnd"/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(y:布氏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指數</w:t>
            </w:r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>, x:陽性率)</w:t>
            </w:r>
          </w:p>
        </w:tc>
      </w:tr>
      <w:tr w:rsidR="00C8447C" w:rsidRPr="00C8447C" w:rsidTr="00C8447C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0.408356</w:t>
            </w:r>
          </w:p>
        </w:tc>
      </w:tr>
      <w:tr w:rsidR="00C8447C" w:rsidRPr="00C8447C" w:rsidTr="00C368AA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0.166754</w:t>
            </w:r>
          </w:p>
        </w:tc>
      </w:tr>
      <w:tr w:rsidR="00C8447C" w:rsidRPr="00C8447C" w:rsidTr="00C8447C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調整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0.1665867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8447C">
              <w:rPr>
                <w:rFonts w:ascii="新細明體" w:hAnsi="新細明體" w:cs="新細明體" w:hint="eastAsia"/>
                <w:color w:val="000000"/>
                <w:kern w:val="0"/>
              </w:rPr>
              <w:t>方程式顯著值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3C128D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2.175178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2B1757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</w:t>
            </w:r>
            <w:r w:rsidR="003C128D">
              <w:rPr>
                <w:color w:val="000000"/>
                <w:kern w:val="0"/>
              </w:rPr>
              <w:t>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0.211295</w:t>
            </w:r>
          </w:p>
        </w:tc>
      </w:tr>
      <w:tr w:rsidR="00C8447C" w:rsidRPr="00C8447C" w:rsidTr="00C368AA">
        <w:trPr>
          <w:trHeight w:val="34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3.25</w:t>
            </w:r>
            <w:r w:rsidR="003C128D">
              <w:rPr>
                <w:color w:val="000000"/>
                <w:kern w:val="0"/>
              </w:rPr>
              <w:t>x10</w:t>
            </w:r>
            <w:r w:rsidR="002B1757">
              <w:rPr>
                <w:color w:val="000000"/>
                <w:kern w:val="0"/>
                <w:vertAlign w:val="superscript"/>
              </w:rPr>
              <w:t>-</w:t>
            </w:r>
            <w:r w:rsidRPr="003C128D">
              <w:rPr>
                <w:color w:val="000000"/>
                <w:kern w:val="0"/>
                <w:vertAlign w:val="superscript"/>
              </w:rPr>
              <w:t>5</w:t>
            </w:r>
          </w:p>
        </w:tc>
      </w:tr>
    </w:tbl>
    <w:p w:rsidR="00ED7B78" w:rsidRPr="00D268C0" w:rsidRDefault="004A13C1" w:rsidP="009A49C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總結進行</w:t>
      </w:r>
      <w:proofErr w:type="gramStart"/>
      <w:r w:rsidR="009A49C3" w:rsidRPr="00D268C0">
        <w:rPr>
          <w:rFonts w:ascii="新細明體" w:hAnsi="新細明體" w:hint="eastAsia"/>
        </w:rPr>
        <w:t>迴</w:t>
      </w:r>
      <w:proofErr w:type="gramEnd"/>
      <w:r w:rsidR="009A49C3" w:rsidRPr="00D268C0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結果</w:t>
      </w:r>
      <w:r w:rsidR="00F32A73" w:rsidRPr="00D268C0">
        <w:rPr>
          <w:rFonts w:ascii="新細明體" w:hAnsi="新細明體" w:hint="eastAsia"/>
        </w:rPr>
        <w:t>為：</w:t>
      </w:r>
    </w:p>
    <w:p w:rsidR="00D268C0" w:rsidRDefault="00F32A73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D268C0">
        <w:rPr>
          <w:rFonts w:ascii="新細明體" w:hAnsi="新細明體" w:hint="eastAsia"/>
        </w:rPr>
        <w:t>誘卵桶</w:t>
      </w:r>
      <w:proofErr w:type="gramEnd"/>
      <w:r w:rsidRPr="00D268C0">
        <w:rPr>
          <w:rFonts w:ascii="新細明體" w:hAnsi="新細明體" w:hint="eastAsia"/>
        </w:rPr>
        <w:t>陽性率和布氏指數只有中度相關，</w:t>
      </w:r>
      <w:r w:rsidR="00710E02" w:rsidRPr="00D268C0">
        <w:rPr>
          <w:rFonts w:ascii="新細明體" w:hAnsi="新細明體" w:hint="eastAsia"/>
        </w:rPr>
        <w:t>但仍可透過</w:t>
      </w:r>
      <w:proofErr w:type="gramStart"/>
      <w:r w:rsidR="00710E02" w:rsidRPr="00D268C0">
        <w:rPr>
          <w:rFonts w:ascii="新細明體" w:hAnsi="新細明體" w:hint="eastAsia"/>
        </w:rPr>
        <w:t>迴</w:t>
      </w:r>
      <w:proofErr w:type="gramEnd"/>
      <w:r w:rsidR="00710E02" w:rsidRPr="00D268C0">
        <w:rPr>
          <w:rFonts w:ascii="新細明體" w:hAnsi="新細明體" w:hint="eastAsia"/>
        </w:rPr>
        <w:t>歸方式求得一個線性方程式，且該方程式可通過統計上檢定要求。</w:t>
      </w:r>
    </w:p>
    <w:p w:rsidR="002629E6" w:rsidRPr="00D268C0" w:rsidRDefault="00710E02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所</w:t>
      </w:r>
      <w:r w:rsidR="00F32A73" w:rsidRPr="00D268C0">
        <w:rPr>
          <w:rFonts w:ascii="新細明體" w:hAnsi="新細明體" w:hint="eastAsia"/>
        </w:rPr>
        <w:t>得的線性方程式</w:t>
      </w:r>
      <w:r w:rsidR="009A49C3" w:rsidRPr="00F31D2F">
        <w:rPr>
          <w:rFonts w:asciiTheme="minorHAnsi" w:hAnsiTheme="minorHAnsi" w:cstheme="minorHAnsi"/>
        </w:rPr>
        <w:t>R</w:t>
      </w:r>
      <w:r w:rsidR="009A49C3" w:rsidRPr="00D268C0">
        <w:rPr>
          <w:rFonts w:ascii="新細明體" w:hAnsi="新細明體" w:hint="eastAsia"/>
          <w:vertAlign w:val="superscript"/>
        </w:rPr>
        <w:t>2</w:t>
      </w:r>
      <w:r w:rsidR="009A49C3" w:rsidRPr="00D268C0">
        <w:rPr>
          <w:rFonts w:ascii="新細明體" w:hAnsi="新細明體" w:hint="eastAsia"/>
        </w:rPr>
        <w:t>值只有</w:t>
      </w:r>
      <w:r w:rsidR="009A49C3" w:rsidRPr="00F31D2F">
        <w:rPr>
          <w:rFonts w:asciiTheme="minorHAnsi" w:hAnsiTheme="minorHAnsi" w:cstheme="minorHAnsi"/>
        </w:rPr>
        <w:t>0.1667</w:t>
      </w:r>
      <w:r w:rsidR="009A49C3" w:rsidRPr="00D268C0">
        <w:rPr>
          <w:rFonts w:ascii="新細明體" w:hAnsi="新細明體" w:hint="eastAsia"/>
        </w:rPr>
        <w:t>，</w:t>
      </w:r>
      <w:r w:rsidRPr="00D268C0">
        <w:rPr>
          <w:rFonts w:ascii="新細明體" w:hAnsi="新細明體" w:hint="eastAsia"/>
        </w:rPr>
        <w:t>代表只能解釋</w:t>
      </w:r>
      <w:r w:rsidRPr="00F31D2F">
        <w:t>16</w:t>
      </w:r>
      <w:r w:rsidR="00F31D2F">
        <w:t>.67</w:t>
      </w:r>
      <w:r w:rsidRPr="00F31D2F">
        <w:t>%</w:t>
      </w:r>
      <w:r w:rsidRPr="00D268C0">
        <w:rPr>
          <w:rFonts w:ascii="新細明體" w:hAnsi="新細明體" w:hint="eastAsia"/>
        </w:rPr>
        <w:t>的原始數據，</w:t>
      </w:r>
      <w:r w:rsidR="00D95EDF" w:rsidRPr="00D268C0">
        <w:rPr>
          <w:rFonts w:ascii="新細明體" w:hAnsi="新細明體" w:hint="eastAsia"/>
        </w:rPr>
        <w:t>並無使用上價值，不可</w:t>
      </w:r>
      <w:r w:rsidR="00F80923" w:rsidRPr="00D268C0">
        <w:rPr>
          <w:rFonts w:ascii="新細明體" w:hAnsi="新細明體" w:hint="eastAsia"/>
        </w:rPr>
        <w:t>直接以</w:t>
      </w:r>
      <w:proofErr w:type="gramStart"/>
      <w:r w:rsidR="00F80923" w:rsidRPr="00D268C0">
        <w:rPr>
          <w:rFonts w:ascii="新細明體" w:hAnsi="新細明體" w:hint="eastAsia"/>
        </w:rPr>
        <w:t>誘卵桶</w:t>
      </w:r>
      <w:proofErr w:type="gramEnd"/>
      <w:r w:rsidR="00F80923" w:rsidRPr="00D268C0">
        <w:rPr>
          <w:rFonts w:ascii="新細明體" w:hAnsi="新細明體" w:hint="eastAsia"/>
        </w:rPr>
        <w:t>陽性率</w:t>
      </w:r>
      <w:r w:rsidR="00F32A73" w:rsidRPr="00D268C0">
        <w:rPr>
          <w:rFonts w:ascii="新細明體" w:hAnsi="新細明體" w:hint="eastAsia"/>
        </w:rPr>
        <w:t>替代</w:t>
      </w:r>
      <w:r w:rsidR="00F80923" w:rsidRPr="00D268C0">
        <w:rPr>
          <w:rFonts w:ascii="新細明體" w:hAnsi="新細明體" w:hint="eastAsia"/>
        </w:rPr>
        <w:t>布氏指數</w:t>
      </w:r>
      <w:r w:rsidR="00F32A73" w:rsidRPr="00D268C0">
        <w:rPr>
          <w:rFonts w:ascii="新細明體" w:hAnsi="新細明體" w:hint="eastAsia"/>
        </w:rPr>
        <w:t>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F32A73">
        <w:rPr>
          <w:rFonts w:ascii="新細明體" w:hAnsi="新細明體" w:hint="eastAsia"/>
        </w:rPr>
        <w:t>敏感度分析</w:t>
      </w:r>
    </w:p>
    <w:p w:rsidR="008D67A2" w:rsidRDefault="008D67A2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本文的敏感度分析</w:t>
      </w:r>
      <w:r w:rsidR="005771B2">
        <w:rPr>
          <w:rFonts w:ascii="新細明體" w:hAnsi="新細明體" w:hint="eastAsia"/>
        </w:rPr>
        <w:t>是利用</w:t>
      </w:r>
      <w:r>
        <w:rPr>
          <w:rFonts w:ascii="新細明體" w:hAnsi="新細明體" w:hint="eastAsia"/>
        </w:rPr>
        <w:t>數據資料集的變異數計算</w:t>
      </w:r>
      <w:r w:rsidR="00235649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以及</w:t>
      </w:r>
      <w:r w:rsidR="00235649">
        <w:rPr>
          <w:rFonts w:ascii="新細明體" w:hAnsi="新細明體" w:hint="eastAsia"/>
        </w:rPr>
        <w:t>觀察</w:t>
      </w:r>
      <w:r>
        <w:rPr>
          <w:rFonts w:ascii="新細明體" w:hAnsi="新細明體" w:hint="eastAsia"/>
        </w:rPr>
        <w:t>分布圖情況</w:t>
      </w:r>
      <w:r w:rsidR="00235649">
        <w:rPr>
          <w:rFonts w:ascii="新細明體" w:hAnsi="新細明體" w:hint="eastAsia"/>
        </w:rPr>
        <w:t>兩種方法</w:t>
      </w:r>
      <w:r>
        <w:rPr>
          <w:rFonts w:ascii="新細明體" w:hAnsi="新細明體" w:hint="eastAsia"/>
        </w:rPr>
        <w:t>來進行判定。</w:t>
      </w:r>
    </w:p>
    <w:p w:rsidR="005F7498" w:rsidRDefault="00F32A73" w:rsidP="005F749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考量</w:t>
      </w:r>
      <w:r w:rsidR="00885F2C">
        <w:rPr>
          <w:rFonts w:asciiTheme="minorHAnsi" w:hAnsiTheme="minorHAnsi" w:cstheme="minorHAnsi"/>
        </w:rPr>
        <w:t>2020</w:t>
      </w:r>
      <w:r w:rsidRPr="00283E54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年間，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南市並無出現登革熱的傳</w:t>
      </w:r>
      <w:r w:rsidR="008D67A2">
        <w:rPr>
          <w:rFonts w:ascii="新細明體" w:hAnsi="新細明體" w:hint="eastAsia"/>
        </w:rPr>
        <w:t>染病例，反應在相關監測指數並沒有高密度的數據可供分析，所以</w:t>
      </w:r>
      <w:r>
        <w:rPr>
          <w:rFonts w:ascii="新細明體" w:hAnsi="新細明體" w:hint="eastAsia"/>
        </w:rPr>
        <w:t>篩選原始數據</w:t>
      </w:r>
      <w:r w:rsidR="00A11EAF">
        <w:rPr>
          <w:rFonts w:ascii="新細明體" w:hAnsi="新細明體" w:hint="eastAsia"/>
        </w:rPr>
        <w:t>（彙整合併前母體）</w:t>
      </w:r>
      <w:r w:rsidR="00F31B5D">
        <w:rPr>
          <w:rFonts w:ascii="新細明體" w:hAnsi="新細明體" w:hint="eastAsia"/>
        </w:rPr>
        <w:t>中布氏指數＜</w:t>
      </w:r>
      <w:r w:rsidR="00F31B5D" w:rsidRPr="00283E54">
        <w:rPr>
          <w:rFonts w:asciiTheme="minorHAnsi" w:hAnsiTheme="minorHAnsi" w:cstheme="minorHAnsi"/>
        </w:rPr>
        <w:t>75</w:t>
      </w:r>
      <w:r>
        <w:rPr>
          <w:rFonts w:ascii="新細明體" w:hAnsi="新細明體" w:hint="eastAsia"/>
        </w:rPr>
        <w:t>（等級</w:t>
      </w:r>
      <w:r w:rsidRPr="001E488B">
        <w:rPr>
          <w:rFonts w:asciiTheme="minorHAnsi" w:hAnsiTheme="minorHAnsi" w:cstheme="minorHAnsi"/>
        </w:rPr>
        <w:t>6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含)</w:t>
      </w:r>
      <w:r w:rsidR="00F31B5D">
        <w:rPr>
          <w:rFonts w:ascii="新細明體" w:hAnsi="新細明體" w:hint="eastAsia"/>
        </w:rPr>
        <w:t>以下），陽性率＜</w:t>
      </w:r>
      <w:r w:rsidR="00F31B5D" w:rsidRPr="00283E54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作為新的兩個分析母體，再以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陽性率母體區分高密度人口區（東、北、中西）及低密度人口區（南、安南、歸仁），分別以</w:t>
      </w:r>
      <w:r w:rsidRPr="00283E54">
        <w:rPr>
          <w:rFonts w:asciiTheme="minorHAnsi" w:hAnsiTheme="minorHAnsi" w:cstheme="minorHAnsi"/>
        </w:rPr>
        <w:t>EXCEL</w:t>
      </w:r>
      <w:r>
        <w:rPr>
          <w:rFonts w:ascii="新細明體" w:hAnsi="新細明體" w:hint="eastAsia"/>
        </w:rPr>
        <w:t>提供的敘述統計工具，</w:t>
      </w:r>
      <w:r w:rsidR="00B36A19">
        <w:rPr>
          <w:rFonts w:ascii="新細明體" w:hAnsi="新細明體" w:hint="eastAsia"/>
        </w:rPr>
        <w:t>分析</w:t>
      </w:r>
      <w:r>
        <w:rPr>
          <w:rFonts w:ascii="新細明體" w:hAnsi="新細明體" w:hint="eastAsia"/>
        </w:rPr>
        <w:t>布氏指數、陽性率（全部區域）、陽性率（高密度人口區）、陽性率（低密度人口區）</w:t>
      </w:r>
      <w:r w:rsidR="00B36A19">
        <w:rPr>
          <w:rFonts w:ascii="新細明體" w:hAnsi="新細明體" w:hint="eastAsia"/>
        </w:rPr>
        <w:t>等數據分布，</w:t>
      </w:r>
      <w:r>
        <w:rPr>
          <w:rFonts w:ascii="新細明體" w:hAnsi="新細明體" w:hint="eastAsia"/>
        </w:rPr>
        <w:t>結果如（表八）～（表十一）</w:t>
      </w:r>
      <w:r w:rsidR="00BE154C">
        <w:rPr>
          <w:rFonts w:ascii="新細明體" w:hAnsi="新細明體" w:hint="eastAsia"/>
        </w:rPr>
        <w:t>(</w:t>
      </w:r>
      <w:r w:rsidR="00710E02">
        <w:rPr>
          <w:rFonts w:ascii="新細明體" w:hAnsi="新細明體" w:hint="eastAsia"/>
        </w:rPr>
        <w:t>皆為自製</w:t>
      </w:r>
      <w:r w:rsidR="00BE154C">
        <w:rPr>
          <w:rFonts w:ascii="新細明體" w:hAnsi="新細明體" w:hint="eastAsia"/>
        </w:rPr>
        <w:t>表</w:t>
      </w:r>
      <w:r w:rsidR="00710E02">
        <w:rPr>
          <w:rFonts w:ascii="新細明體" w:hAnsi="新細明體" w:hint="eastAsia"/>
        </w:rPr>
        <w:t>格</w:t>
      </w:r>
      <w:r w:rsidR="00BE154C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。</w:t>
      </w:r>
    </w:p>
    <w:p w:rsidR="00E95AD7" w:rsidRPr="005F7498" w:rsidRDefault="005F7498" w:rsidP="005F749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由結果得知布氏指數</w:t>
      </w:r>
      <w:r w:rsidR="00B10357">
        <w:rPr>
          <w:rFonts w:ascii="新細明體" w:hAnsi="新細明體" w:hint="eastAsia"/>
        </w:rPr>
        <w:t>變異數</w:t>
      </w:r>
      <w:r>
        <w:rPr>
          <w:rFonts w:ascii="新細明體" w:hAnsi="新細明體" w:hint="eastAsia"/>
        </w:rPr>
        <w:t>只有</w:t>
      </w:r>
      <w:r w:rsidRPr="005F7498">
        <w:rPr>
          <w:rFonts w:asciiTheme="minorHAnsi" w:hAnsiTheme="minorHAnsi" w:cstheme="minorHAnsi"/>
        </w:rPr>
        <w:t>3.26228</w:t>
      </w:r>
      <w:r>
        <w:rPr>
          <w:rFonts w:ascii="新細明體" w:hAnsi="新細明體" w:hint="eastAsia"/>
        </w:rPr>
        <w:t>，而誘卵桶陽性率的變異數為</w:t>
      </w:r>
      <w:r w:rsidRPr="005F7498">
        <w:rPr>
          <w:rFonts w:asciiTheme="minorHAnsi" w:hAnsiTheme="minorHAnsi" w:cstheme="minorHAnsi"/>
        </w:rPr>
        <w:t>206.537</w:t>
      </w:r>
      <w:r>
        <w:rPr>
          <w:rFonts w:ascii="新細明體" w:hAnsi="新細明體" w:hint="eastAsia"/>
        </w:rPr>
        <w:t>，因此可判定誘卵桶陽性率的變異程度較布氏指數大，</w:t>
      </w:r>
      <w:r w:rsidR="00235649">
        <w:rPr>
          <w:rFonts w:ascii="新細明體" w:hAnsi="新細明體" w:hint="eastAsia"/>
        </w:rPr>
        <w:t>即在</w:t>
      </w:r>
      <w:r>
        <w:rPr>
          <w:rFonts w:ascii="新細明體" w:hAnsi="新細明體" w:hint="eastAsia"/>
        </w:rPr>
        <w:t>同時期的病媒蚊狀況下，誘</w:t>
      </w:r>
      <w:r>
        <w:rPr>
          <w:rFonts w:ascii="新細明體" w:hAnsi="新細明體" w:hint="eastAsia"/>
        </w:rPr>
        <w:lastRenderedPageBreak/>
        <w:t>卵桶陽性率較為敏感。若區分人口高密度及低密度觀察，兩者的變異數分別為</w:t>
      </w:r>
      <w:r>
        <w:rPr>
          <w:rFonts w:asciiTheme="minorHAnsi" w:hAnsiTheme="minorHAnsi" w:cstheme="minorHAnsi"/>
        </w:rPr>
        <w:t>195</w:t>
      </w:r>
      <w:r w:rsidRPr="005F7498">
        <w:rPr>
          <w:rFonts w:asciiTheme="minorHAnsi" w:hAnsiTheme="minorHAnsi" w:cstheme="minorHAnsi"/>
        </w:rPr>
        <w:t>.376</w:t>
      </w:r>
      <w:r w:rsidRPr="005F7498">
        <w:rPr>
          <w:rFonts w:asciiTheme="minorHAnsi" w:hAnsiTheme="minorHAnsi" w:cstheme="minorHAnsi"/>
        </w:rPr>
        <w:t>及</w:t>
      </w:r>
      <w:r w:rsidR="003D74CF">
        <w:rPr>
          <w:rFonts w:asciiTheme="minorHAnsi" w:hAnsiTheme="minorHAnsi" w:cstheme="minorHAnsi"/>
        </w:rPr>
        <w:t>213.248</w:t>
      </w:r>
      <w:r>
        <w:rPr>
          <w:rFonts w:ascii="新細明體" w:hAnsi="新細明體" w:hint="eastAsia"/>
        </w:rPr>
        <w:t>，低密度人口陽性率的變異數僅略高於高</w:t>
      </w:r>
      <w:r w:rsidR="00B10357">
        <w:rPr>
          <w:rFonts w:ascii="新細明體" w:hAnsi="新細明體" w:hint="eastAsia"/>
        </w:rPr>
        <w:t>密度</w:t>
      </w:r>
      <w:r>
        <w:rPr>
          <w:rFonts w:ascii="新細明體" w:hAnsi="新細明體" w:hint="eastAsia"/>
        </w:rPr>
        <w:t>人口數據約</w:t>
      </w:r>
      <w:r w:rsidR="003D74CF" w:rsidRPr="003D74CF">
        <w:rPr>
          <w:rFonts w:asciiTheme="minorHAnsi" w:hAnsiTheme="minorHAnsi" w:cstheme="minorHAnsi"/>
        </w:rPr>
        <w:t>9</w:t>
      </w:r>
      <w:r w:rsidRPr="003D74CF">
        <w:rPr>
          <w:rFonts w:asciiTheme="minorHAnsi" w:hAnsiTheme="minorHAnsi" w:cstheme="minorHAnsi"/>
        </w:rPr>
        <w:t>%</w:t>
      </w:r>
      <w:r>
        <w:rPr>
          <w:rFonts w:ascii="新細明體" w:hAnsi="新細明體" w:hint="eastAsia"/>
        </w:rPr>
        <w:t>，難以</w:t>
      </w:r>
      <w:r w:rsidR="003D74CF">
        <w:rPr>
          <w:rFonts w:ascii="新細明體" w:hAnsi="新細明體" w:hint="eastAsia"/>
        </w:rPr>
        <w:t>直接</w:t>
      </w:r>
      <w:r>
        <w:rPr>
          <w:rFonts w:ascii="新細明體" w:hAnsi="新細明體" w:hint="eastAsia"/>
        </w:rPr>
        <w:t>判定在人口密度不同情況下，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陽性率的敏感度有顯</w:t>
      </w:r>
      <w:r w:rsidR="00B10357">
        <w:rPr>
          <w:rFonts w:ascii="新細明體" w:hAnsi="新細明體" w:hint="eastAsia"/>
        </w:rPr>
        <w:t>著</w:t>
      </w:r>
      <w:r>
        <w:rPr>
          <w:rFonts w:ascii="新細明體" w:hAnsi="新細明體" w:hint="eastAsia"/>
        </w:rPr>
        <w:t>差異。</w:t>
      </w:r>
    </w:p>
    <w:p w:rsidR="00E95AD7" w:rsidRPr="00772DE8" w:rsidRDefault="00E95AD7" w:rsidP="00772DE8">
      <w:pPr>
        <w:spacing w:beforeLines="100" w:before="360"/>
        <w:ind w:firstLineChars="100" w:firstLine="240"/>
        <w:jc w:val="both"/>
        <w:rPr>
          <w:rFonts w:ascii="新細明體" w:hAnsi="新細明體"/>
        </w:rPr>
      </w:pPr>
      <w:r w:rsidRPr="00772DE8">
        <w:rPr>
          <w:rFonts w:ascii="新細明體" w:hAnsi="新細明體" w:hint="eastAsia"/>
        </w:rPr>
        <w:t xml:space="preserve">表八：布氏指數  </w:t>
      </w:r>
      <w:r w:rsidR="00772DE8">
        <w:rPr>
          <w:rFonts w:ascii="新細明體" w:hAnsi="新細明體"/>
        </w:rPr>
        <w:t xml:space="preserve">   </w:t>
      </w:r>
      <w:r w:rsidRPr="00772DE8">
        <w:rPr>
          <w:rFonts w:ascii="新細明體" w:hAnsi="新細明體" w:hint="eastAsia"/>
        </w:rPr>
        <w:t>表九：陽性率(全)</w:t>
      </w:r>
      <w:r w:rsidRPr="00772DE8">
        <w:rPr>
          <w:rFonts w:ascii="新細明體" w:hAnsi="新細明體"/>
        </w:rPr>
        <w:t xml:space="preserve"> </w:t>
      </w:r>
      <w:r w:rsidR="00C85AFB">
        <w:rPr>
          <w:rFonts w:ascii="新細明體" w:hAnsi="新細明體"/>
        </w:rPr>
        <w:t xml:space="preserve"> </w:t>
      </w:r>
      <w:r w:rsidRPr="00772DE8">
        <w:rPr>
          <w:rFonts w:ascii="新細明體" w:hAnsi="新細明體"/>
        </w:rPr>
        <w:t xml:space="preserve"> </w:t>
      </w:r>
      <w:r w:rsidR="00772DE8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表十：陽性率(高密)  表十一：陽性率(</w:t>
      </w:r>
      <w:proofErr w:type="gramStart"/>
      <w:r w:rsidRPr="00772DE8">
        <w:rPr>
          <w:rFonts w:ascii="新細明體" w:hAnsi="新細明體" w:hint="eastAsia"/>
        </w:rPr>
        <w:t>低密</w:t>
      </w:r>
      <w:proofErr w:type="gramEnd"/>
      <w:r w:rsidRPr="00772DE8">
        <w:rPr>
          <w:rFonts w:ascii="新細明體" w:hAnsi="新細明體" w:hint="eastAsia"/>
        </w:rPr>
        <w:t>)</w:t>
      </w:r>
    </w:p>
    <w:tbl>
      <w:tblPr>
        <w:tblW w:w="9011" w:type="dxa"/>
        <w:tblInd w:w="2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103"/>
        <w:gridCol w:w="101"/>
        <w:gridCol w:w="1084"/>
        <w:gridCol w:w="1103"/>
        <w:gridCol w:w="81"/>
        <w:gridCol w:w="1084"/>
        <w:gridCol w:w="1103"/>
        <w:gridCol w:w="81"/>
        <w:gridCol w:w="1084"/>
        <w:gridCol w:w="1103"/>
      </w:tblGrid>
      <w:tr w:rsidR="00772DE8" w:rsidRPr="00772DE8" w:rsidTr="00772DE8">
        <w:trPr>
          <w:trHeight w:val="359"/>
        </w:trPr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布氏指數(全)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陽性率(全)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陽性率(高密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</w:t>
            </w:r>
            <w:proofErr w:type="gramStart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低密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proofErr w:type="gramEnd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0.86752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26.7138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23.7925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28.5873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9.09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36.94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1.80617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14.3714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5F749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13.9777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862ABB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14.6030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3.26228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206.537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5F749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195</w:t>
            </w:r>
            <w:r w:rsidR="00772DE8" w:rsidRPr="00772DE8">
              <w:rPr>
                <w:rFonts w:asciiTheme="minorHAnsi" w:hAnsiTheme="minorHAnsi" w:cstheme="minorHAnsi"/>
                <w:color w:val="000000"/>
                <w:kern w:val="0"/>
              </w:rPr>
              <w:t>.376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3D74CF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213.248</w:t>
            </w:r>
          </w:p>
        </w:tc>
      </w:tr>
      <w:tr w:rsidR="00772DE8" w:rsidRPr="00772DE8" w:rsidTr="00772DE8">
        <w:trPr>
          <w:trHeight w:val="359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19314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1034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EF242E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307</w:t>
            </w:r>
          </w:p>
        </w:tc>
      </w:tr>
    </w:tbl>
    <w:p w:rsidR="00F32A73" w:rsidRDefault="00B10357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另外，採用製圖法判定：</w:t>
      </w:r>
      <w:r w:rsidR="005F7498">
        <w:rPr>
          <w:rFonts w:ascii="新細明體" w:hAnsi="新細明體" w:hint="eastAsia"/>
        </w:rPr>
        <w:t>同樣</w:t>
      </w:r>
      <w:r>
        <w:rPr>
          <w:rFonts w:ascii="新細明體" w:hAnsi="新細明體" w:hint="eastAsia"/>
        </w:rPr>
        <w:t>篩選</w:t>
      </w:r>
      <w:r w:rsidR="00CC55C4">
        <w:rPr>
          <w:rFonts w:ascii="新細明體" w:hAnsi="新細明體" w:hint="eastAsia"/>
        </w:rPr>
        <w:t>布氏指數＜</w:t>
      </w:r>
      <w:r w:rsidR="00CC55C4" w:rsidRPr="00FB2D82">
        <w:rPr>
          <w:rFonts w:asciiTheme="minorHAnsi" w:hAnsiTheme="minorHAnsi" w:cstheme="minorHAnsi"/>
        </w:rPr>
        <w:t>75</w:t>
      </w:r>
      <w:r w:rsidR="00CC55C4">
        <w:rPr>
          <w:rFonts w:ascii="新細明體" w:hAnsi="新細明體" w:hint="eastAsia"/>
        </w:rPr>
        <w:t>及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陽性率＜</w:t>
      </w:r>
      <w:r w:rsidR="00CC55C4" w:rsidRPr="00FB2D82">
        <w:rPr>
          <w:rFonts w:asciiTheme="minorHAnsi" w:hAnsiTheme="minorHAnsi" w:cstheme="minorHAnsi"/>
        </w:rPr>
        <w:t>60%</w:t>
      </w:r>
      <w:r w:rsidR="001136F0">
        <w:rPr>
          <w:rFonts w:ascii="新細明體" w:hAnsi="新細明體" w:hint="eastAsia"/>
        </w:rPr>
        <w:t>數據製作</w:t>
      </w:r>
      <w:r>
        <w:rPr>
          <w:rFonts w:ascii="新細明體" w:hAnsi="新細明體" w:hint="eastAsia"/>
        </w:rPr>
        <w:t>成</w:t>
      </w:r>
      <w:r w:rsidR="001136F0">
        <w:rPr>
          <w:rFonts w:ascii="新細明體" w:hAnsi="新細明體" w:hint="eastAsia"/>
        </w:rPr>
        <w:t>分布圖</w:t>
      </w:r>
      <w:r w:rsidR="001E6FB0">
        <w:rPr>
          <w:rFonts w:ascii="新細明體" w:hAnsi="新細明體" w:hint="eastAsia"/>
        </w:rPr>
        <w:t>（圖六）、（圖七</w:t>
      </w:r>
      <w:r w:rsidR="00F32A73">
        <w:rPr>
          <w:rFonts w:ascii="新細明體" w:hAnsi="新細明體" w:hint="eastAsia"/>
        </w:rPr>
        <w:t>）</w:t>
      </w:r>
      <w:r w:rsidR="001136F0">
        <w:rPr>
          <w:rFonts w:ascii="新細明體" w:hAnsi="新細明體" w:hint="eastAsia"/>
        </w:rPr>
        <w:t>後，直接以肉眼觀察可</w:t>
      </w:r>
      <w:r w:rsidR="008C1022">
        <w:rPr>
          <w:rFonts w:ascii="新細明體" w:hAnsi="新細明體" w:hint="eastAsia"/>
        </w:rPr>
        <w:t>判定在</w:t>
      </w:r>
      <w:r w:rsidR="000B7BEE">
        <w:rPr>
          <w:rFonts w:ascii="新細明體" w:hAnsi="新細明體" w:hint="eastAsia"/>
        </w:rPr>
        <w:t>同樣</w:t>
      </w:r>
      <w:r w:rsidR="00B36A19">
        <w:rPr>
          <w:rFonts w:ascii="新細明體" w:hAnsi="新細明體" w:hint="eastAsia"/>
        </w:rPr>
        <w:t>的</w:t>
      </w:r>
      <w:r w:rsidR="000B7BEE">
        <w:rPr>
          <w:rFonts w:ascii="新細明體" w:hAnsi="新細明體" w:hint="eastAsia"/>
        </w:rPr>
        <w:t>調查</w:t>
      </w:r>
      <w:proofErr w:type="gramStart"/>
      <w:r w:rsidR="000B7BEE">
        <w:rPr>
          <w:rFonts w:ascii="新細明體" w:hAnsi="新細明體" w:hint="eastAsia"/>
        </w:rPr>
        <w:t>期間，</w:t>
      </w:r>
      <w:proofErr w:type="gramEnd"/>
      <w:r w:rsidR="00316DD2">
        <w:rPr>
          <w:rFonts w:ascii="新細明體" w:hAnsi="新細明體" w:hint="eastAsia"/>
        </w:rPr>
        <w:t>在</w:t>
      </w:r>
      <w:r w:rsidR="00B36A19">
        <w:rPr>
          <w:rFonts w:ascii="新細明體" w:hAnsi="新細明體" w:hint="eastAsia"/>
        </w:rPr>
        <w:t>低密度</w:t>
      </w:r>
      <w:r w:rsidR="008C1022">
        <w:rPr>
          <w:rFonts w:ascii="新細明體" w:hAnsi="新細明體" w:hint="eastAsia"/>
        </w:rPr>
        <w:t>病媒</w:t>
      </w:r>
      <w:proofErr w:type="gramStart"/>
      <w:r w:rsidR="008C1022">
        <w:rPr>
          <w:rFonts w:ascii="新細明體" w:hAnsi="新細明體" w:hint="eastAsia"/>
        </w:rPr>
        <w:t>蚊</w:t>
      </w:r>
      <w:proofErr w:type="gramEnd"/>
      <w:r w:rsidR="008C1022">
        <w:rPr>
          <w:rFonts w:ascii="新細明體" w:hAnsi="新細明體" w:hint="eastAsia"/>
        </w:rPr>
        <w:t>狀況</w:t>
      </w:r>
      <w:r w:rsidR="000B7BEE">
        <w:rPr>
          <w:rFonts w:ascii="新細明體" w:hAnsi="新細明體" w:hint="eastAsia"/>
        </w:rPr>
        <w:t>下</w:t>
      </w:r>
      <w:r w:rsidR="008C1022">
        <w:rPr>
          <w:rFonts w:ascii="新細明體" w:hAnsi="新細明體" w:hint="eastAsia"/>
        </w:rPr>
        <w:t>，</w:t>
      </w:r>
      <w:proofErr w:type="gramStart"/>
      <w:r w:rsidR="008C1022">
        <w:rPr>
          <w:rFonts w:ascii="新細明體" w:hAnsi="新細明體" w:hint="eastAsia"/>
        </w:rPr>
        <w:t>誘卵桶</w:t>
      </w:r>
      <w:proofErr w:type="gramEnd"/>
      <w:r w:rsidR="008C1022">
        <w:rPr>
          <w:rFonts w:ascii="新細明體" w:hAnsi="新細明體" w:hint="eastAsia"/>
        </w:rPr>
        <w:t>陽性率較</w:t>
      </w:r>
      <w:r w:rsidR="00695632">
        <w:rPr>
          <w:rFonts w:ascii="新細明體" w:hAnsi="新細明體" w:hint="eastAsia"/>
        </w:rPr>
        <w:t>之</w:t>
      </w:r>
      <w:r w:rsidR="008C1022">
        <w:rPr>
          <w:rFonts w:ascii="新細明體" w:hAnsi="新細明體" w:hint="eastAsia"/>
        </w:rPr>
        <w:t>布氏指數有較佳敏感度</w:t>
      </w:r>
      <w:r w:rsidR="007F2017">
        <w:rPr>
          <w:rFonts w:ascii="新細明體" w:hAnsi="新細明體" w:hint="eastAsia"/>
        </w:rPr>
        <w:t>（</w:t>
      </w:r>
      <w:r w:rsidR="001136F0">
        <w:rPr>
          <w:rFonts w:ascii="新細明體" w:hAnsi="新細明體" w:hint="eastAsia"/>
        </w:rPr>
        <w:t>數據</w:t>
      </w:r>
      <w:r w:rsidR="007F2017">
        <w:rPr>
          <w:rFonts w:ascii="新細明體" w:hAnsi="新細明體" w:hint="eastAsia"/>
        </w:rPr>
        <w:t>分布較廣）</w:t>
      </w:r>
      <w:r w:rsidR="00F32A73">
        <w:rPr>
          <w:rFonts w:ascii="新細明體" w:hAnsi="新細明體" w:hint="eastAsia"/>
        </w:rPr>
        <w:t>。</w:t>
      </w:r>
    </w:p>
    <w:p w:rsidR="00B36841" w:rsidRDefault="00B36841" w:rsidP="00E8161C">
      <w:pPr>
        <w:spacing w:beforeLines="50" w:before="180"/>
        <w:ind w:rightChars="50" w:right="120" w:firstLineChars="350" w:firstLine="840"/>
        <w:rPr>
          <w:rFonts w:ascii="新細明體" w:hAnsi="新細明體"/>
        </w:rPr>
      </w:pPr>
    </w:p>
    <w:p w:rsidR="00A84B38" w:rsidRPr="00323445" w:rsidRDefault="00A84B38" w:rsidP="00B36841">
      <w:pPr>
        <w:ind w:rightChars="50" w:right="120" w:firstLineChars="350" w:firstLine="840"/>
        <w:rPr>
          <w:rFonts w:ascii="新細明體" w:hAnsi="新細明體"/>
        </w:rPr>
      </w:pPr>
      <w:r w:rsidRPr="00323445">
        <w:rPr>
          <w:rFonts w:ascii="新細明體" w:hAnsi="新細明體" w:hint="eastAsia"/>
        </w:rPr>
        <w:t>圖六：布氏指數</w:t>
      </w:r>
      <w:r w:rsidRPr="00323445">
        <w:rPr>
          <w:rFonts w:asciiTheme="minorHAnsi" w:hAnsiTheme="minorHAnsi" w:cstheme="minorHAnsi"/>
        </w:rPr>
        <w:t>(&lt;75)</w:t>
      </w:r>
      <w:r w:rsidR="00E8161C">
        <w:rPr>
          <w:rFonts w:ascii="新細明體" w:hAnsi="新細明體" w:hint="eastAsia"/>
        </w:rPr>
        <w:t>分布圖(</w:t>
      </w:r>
      <w:r w:rsidRPr="00323445">
        <w:rPr>
          <w:rFonts w:ascii="新細明體" w:hAnsi="新細明體" w:hint="eastAsia"/>
        </w:rPr>
        <w:t>自製</w:t>
      </w:r>
      <w:r w:rsidR="00E8161C">
        <w:rPr>
          <w:rFonts w:ascii="新細明體" w:hAnsi="新細明體" w:hint="eastAsia"/>
        </w:rPr>
        <w:t xml:space="preserve">)    </w:t>
      </w:r>
      <w:r w:rsidR="00E8161C">
        <w:rPr>
          <w:rFonts w:ascii="新細明體" w:hAnsi="新細明體"/>
        </w:rPr>
        <w:t xml:space="preserve"> </w:t>
      </w:r>
      <w:r w:rsidR="00E8161C" w:rsidRPr="00323445">
        <w:rPr>
          <w:rFonts w:ascii="新細明體" w:hAnsi="新細明體" w:hint="eastAsia"/>
        </w:rPr>
        <w:t>圖七：</w:t>
      </w:r>
      <w:proofErr w:type="gramStart"/>
      <w:r w:rsidR="00E8161C" w:rsidRPr="00323445">
        <w:rPr>
          <w:rFonts w:ascii="新細明體" w:hAnsi="新細明體" w:hint="eastAsia"/>
        </w:rPr>
        <w:t>誘卵桶</w:t>
      </w:r>
      <w:proofErr w:type="gramEnd"/>
      <w:r w:rsidR="00E8161C" w:rsidRPr="00323445">
        <w:rPr>
          <w:rFonts w:ascii="新細明體" w:hAnsi="新細明體" w:hint="eastAsia"/>
        </w:rPr>
        <w:t>陽性率(</w:t>
      </w:r>
      <w:r w:rsidR="00E8161C" w:rsidRPr="00323445">
        <w:rPr>
          <w:rFonts w:asciiTheme="minorHAnsi" w:hAnsiTheme="minorHAnsi" w:cstheme="minorHAnsi"/>
        </w:rPr>
        <w:t>&lt;60%)</w:t>
      </w:r>
      <w:r w:rsidR="00E8161C">
        <w:rPr>
          <w:rFonts w:ascii="新細明體" w:hAnsi="新細明體" w:hint="eastAsia"/>
        </w:rPr>
        <w:t>分布圖(自製)</w:t>
      </w:r>
    </w:p>
    <w:p w:rsidR="00AD2CF3" w:rsidRPr="000A2E04" w:rsidRDefault="00107A58" w:rsidP="00CC1FFD">
      <w:pPr>
        <w:pStyle w:val="a9"/>
        <w:ind w:leftChars="0" w:left="340" w:firstLineChars="200" w:firstLine="480"/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47B3AFB8" wp14:editId="7BE3E83D">
            <wp:extent cx="2604369" cy="2375535"/>
            <wp:effectExtent l="0" t="0" r="5715" b="571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E8161C">
        <w:rPr>
          <w:rFonts w:ascii="新細明體" w:hAnsi="新細明體" w:hint="eastAsia"/>
        </w:rPr>
        <w:t xml:space="preserve"> </w:t>
      </w:r>
      <w:r w:rsidR="00323445">
        <w:rPr>
          <w:noProof/>
        </w:rPr>
        <w:drawing>
          <wp:inline distT="0" distB="0" distL="0" distR="0" wp14:anchorId="61FEE143" wp14:editId="57B9CDE1">
            <wp:extent cx="2689058" cy="2375535"/>
            <wp:effectExtent l="0" t="0" r="16510" b="571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10E02" w:rsidRPr="000A7EDB" w:rsidRDefault="00710E02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依照變異數</w:t>
      </w:r>
      <w:r w:rsidR="00F059E7">
        <w:rPr>
          <w:rFonts w:ascii="新細明體" w:hAnsi="新細明體" w:hint="eastAsia"/>
        </w:rPr>
        <w:t>及</w:t>
      </w:r>
      <w:r w:rsidR="00E672E0">
        <w:rPr>
          <w:rFonts w:ascii="新細明體" w:hAnsi="新細明體" w:hint="eastAsia"/>
        </w:rPr>
        <w:t>觀察</w:t>
      </w:r>
      <w:r w:rsidR="00F059E7">
        <w:rPr>
          <w:rFonts w:ascii="新細明體" w:hAnsi="新細明體" w:hint="eastAsia"/>
        </w:rPr>
        <w:t>分布圖</w:t>
      </w:r>
      <w:r w:rsidR="00EF242E">
        <w:rPr>
          <w:rFonts w:ascii="新細明體" w:hAnsi="新細明體" w:hint="eastAsia"/>
        </w:rPr>
        <w:t>後</w:t>
      </w:r>
      <w:r w:rsidR="00E672E0">
        <w:rPr>
          <w:rFonts w:ascii="新細明體" w:hAnsi="新細明體" w:hint="eastAsia"/>
        </w:rPr>
        <w:t>可</w:t>
      </w:r>
      <w:r w:rsidR="00C226C7">
        <w:rPr>
          <w:rFonts w:ascii="新細明體" w:hAnsi="新細明體" w:hint="eastAsia"/>
        </w:rPr>
        <w:t>獲得</w:t>
      </w:r>
      <w:r w:rsidR="004A13C1">
        <w:rPr>
          <w:rFonts w:ascii="新細明體" w:hAnsi="新細明體" w:hint="eastAsia"/>
        </w:rPr>
        <w:t>以下</w:t>
      </w:r>
      <w:r w:rsidR="00873C4B">
        <w:rPr>
          <w:rFonts w:ascii="新細明體" w:hAnsi="新細明體" w:hint="eastAsia"/>
        </w:rPr>
        <w:t>結果</w:t>
      </w:r>
      <w:r w:rsidRPr="000A7EDB">
        <w:rPr>
          <w:rFonts w:ascii="新細明體" w:hAnsi="新細明體" w:hint="eastAsia"/>
        </w:rPr>
        <w:t>：</w:t>
      </w:r>
    </w:p>
    <w:p w:rsidR="000A7EDB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病媒</w:t>
      </w:r>
      <w:proofErr w:type="gramStart"/>
      <w:r w:rsidRPr="000A7EDB">
        <w:rPr>
          <w:rFonts w:ascii="新細明體" w:hAnsi="新細明體" w:hint="eastAsia"/>
        </w:rPr>
        <w:t>蚊</w:t>
      </w:r>
      <w:proofErr w:type="gramEnd"/>
      <w:r w:rsidRPr="000A7EDB">
        <w:rPr>
          <w:rFonts w:ascii="新細明體" w:hAnsi="新細明體" w:hint="eastAsia"/>
        </w:rPr>
        <w:t>密度不高時，</w:t>
      </w:r>
      <w:proofErr w:type="gramStart"/>
      <w:r w:rsidRPr="000A7EDB">
        <w:rPr>
          <w:rFonts w:ascii="新細明體" w:hAnsi="新細明體" w:hint="eastAsia"/>
        </w:rPr>
        <w:t>誘卵桶</w:t>
      </w:r>
      <w:proofErr w:type="gramEnd"/>
      <w:r w:rsidRPr="000A7EDB">
        <w:rPr>
          <w:rFonts w:ascii="新細明體" w:hAnsi="新細明體" w:hint="eastAsia"/>
        </w:rPr>
        <w:t>陽性率較之布氏指數變異數更大，代表具有比較好的敏感度。</w:t>
      </w:r>
    </w:p>
    <w:p w:rsidR="00E8161C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8247C">
        <w:rPr>
          <w:rFonts w:ascii="新細明體" w:hAnsi="新細明體" w:hint="eastAsia"/>
        </w:rPr>
        <w:t>低密度人口區的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陽性率數值比高密度人口區略高，但較之布氏指數的差距，無法直接判定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陽性率在人口密度不同時的使用上有顯著差別。</w:t>
      </w: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F32A73" w:rsidRPr="000159C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lastRenderedPageBreak/>
        <w:t>研究結論與建議</w:t>
      </w:r>
    </w:p>
    <w:p w:rsidR="00AC3AE6" w:rsidRPr="00D05067" w:rsidRDefault="000149CC" w:rsidP="00D05067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依照前述提及</w:t>
      </w:r>
      <w:r w:rsidR="00316DD2">
        <w:rPr>
          <w:rFonts w:hint="eastAsia"/>
        </w:rPr>
        <w:t>各</w:t>
      </w:r>
      <w:r w:rsidR="002C5F35">
        <w:rPr>
          <w:rFonts w:hint="eastAsia"/>
        </w:rPr>
        <w:t>指數間相關係數分析</w:t>
      </w:r>
      <w:r w:rsidR="002C5F35" w:rsidRPr="002C5F35">
        <w:rPr>
          <w:rFonts w:asciiTheme="minorEastAsia" w:eastAsiaTheme="minorEastAsia" w:hAnsiTheme="minorEastAsia" w:hint="eastAsia"/>
        </w:rPr>
        <w:t>、</w:t>
      </w:r>
      <w:r w:rsidR="0022400D">
        <w:rPr>
          <w:rFonts w:hint="eastAsia"/>
        </w:rPr>
        <w:t>布氏</w:t>
      </w:r>
      <w:r w:rsidR="002C5F35">
        <w:rPr>
          <w:rFonts w:hint="eastAsia"/>
        </w:rPr>
        <w:t>指數及</w:t>
      </w:r>
      <w:proofErr w:type="gramStart"/>
      <w:r w:rsidR="002C5F35">
        <w:rPr>
          <w:rFonts w:hint="eastAsia"/>
        </w:rPr>
        <w:t>誘卵桶</w:t>
      </w:r>
      <w:proofErr w:type="gramEnd"/>
      <w:r w:rsidR="002C5F35">
        <w:rPr>
          <w:rFonts w:hint="eastAsia"/>
        </w:rPr>
        <w:t>陽性率</w:t>
      </w:r>
      <w:r>
        <w:rPr>
          <w:rFonts w:hint="eastAsia"/>
        </w:rPr>
        <w:t>的</w:t>
      </w:r>
      <w:proofErr w:type="gramStart"/>
      <w:r w:rsidR="002C5F35">
        <w:rPr>
          <w:rFonts w:hint="eastAsia"/>
        </w:rPr>
        <w:t>迴</w:t>
      </w:r>
      <w:proofErr w:type="gramEnd"/>
      <w:r w:rsidR="002C5F35">
        <w:rPr>
          <w:rFonts w:hint="eastAsia"/>
        </w:rPr>
        <w:t>歸分析</w:t>
      </w:r>
      <w:r w:rsidRPr="002C5F35">
        <w:rPr>
          <w:rFonts w:asciiTheme="minorEastAsia" w:eastAsiaTheme="minorEastAsia" w:hAnsiTheme="minorEastAsia" w:hint="eastAsia"/>
        </w:rPr>
        <w:t>、</w:t>
      </w:r>
      <w:r w:rsidR="00252AE7">
        <w:rPr>
          <w:rFonts w:hint="eastAsia"/>
        </w:rPr>
        <w:t>布</w:t>
      </w:r>
      <w:r w:rsidR="0022400D" w:rsidRPr="000A7EDB">
        <w:rPr>
          <w:rFonts w:ascii="新細明體" w:hAnsi="新細明體" w:hint="eastAsia"/>
        </w:rPr>
        <w:t>氏</w:t>
      </w:r>
      <w:r w:rsidR="00252AE7">
        <w:rPr>
          <w:rFonts w:hint="eastAsia"/>
        </w:rPr>
        <w:t>指數和</w:t>
      </w:r>
      <w:proofErr w:type="gramStart"/>
      <w:r w:rsidR="00873C4B">
        <w:rPr>
          <w:rFonts w:hint="eastAsia"/>
        </w:rPr>
        <w:t>誘卵桶</w:t>
      </w:r>
      <w:proofErr w:type="gramEnd"/>
      <w:r w:rsidR="00873C4B">
        <w:rPr>
          <w:rFonts w:hint="eastAsia"/>
        </w:rPr>
        <w:t>陽性率敏感度分析結果</w:t>
      </w:r>
      <w:r w:rsidR="002C5F35">
        <w:rPr>
          <w:rFonts w:hint="eastAsia"/>
        </w:rPr>
        <w:t>後</w:t>
      </w:r>
      <w:r>
        <w:rPr>
          <w:rFonts w:ascii="新細明體" w:hAnsi="新細明體" w:hint="eastAsia"/>
        </w:rPr>
        <w:t>，可</w:t>
      </w:r>
      <w:r w:rsidR="00997F07">
        <w:rPr>
          <w:rFonts w:ascii="新細明體" w:hAnsi="新細明體" w:hint="eastAsia"/>
        </w:rPr>
        <w:t>總結</w:t>
      </w:r>
      <w:r w:rsidR="002C5F35">
        <w:rPr>
          <w:rFonts w:ascii="新細明體" w:hAnsi="新細明體" w:hint="eastAsia"/>
        </w:rPr>
        <w:t>如下</w:t>
      </w:r>
      <w:r w:rsidR="00873C4B">
        <w:rPr>
          <w:rFonts w:ascii="新細明體" w:hAnsi="新細明體" w:hint="eastAsia"/>
        </w:rPr>
        <w:t>結論</w:t>
      </w:r>
      <w:r w:rsidR="0036249C" w:rsidRPr="00D05067">
        <w:rPr>
          <w:rFonts w:ascii="新細明體" w:hAnsi="新細明體" w:hint="eastAsia"/>
        </w:rPr>
        <w:t>：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布氏指數可以取代容器指數及住宅指數。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陽性率可以取代</w:t>
      </w:r>
      <w:proofErr w:type="gramStart"/>
      <w:r w:rsidRPr="00D05067">
        <w:rPr>
          <w:rFonts w:ascii="新細明體" w:hAnsi="新細明體" w:hint="eastAsia"/>
        </w:rPr>
        <w:t>誘卵桶總卵粒數</w:t>
      </w:r>
      <w:proofErr w:type="gramEnd"/>
      <w:r w:rsidRPr="00D05067">
        <w:rPr>
          <w:rFonts w:ascii="新細明體" w:hAnsi="新細明體" w:hint="eastAsia"/>
        </w:rPr>
        <w:t>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在</w:t>
      </w:r>
      <w:r w:rsidR="00B36A19" w:rsidRPr="00D05067">
        <w:rPr>
          <w:rFonts w:ascii="新細明體" w:hAnsi="新細明體" w:hint="eastAsia"/>
        </w:rPr>
        <w:t>低密度</w:t>
      </w:r>
      <w:r w:rsidRPr="00D05067">
        <w:rPr>
          <w:rFonts w:ascii="新細明體" w:hAnsi="新細明體" w:hint="eastAsia"/>
        </w:rPr>
        <w:t>病媒</w:t>
      </w:r>
      <w:proofErr w:type="gramStart"/>
      <w:r w:rsidRPr="00D05067">
        <w:rPr>
          <w:rFonts w:ascii="新細明體" w:hAnsi="新細明體" w:hint="eastAsia"/>
        </w:rPr>
        <w:t>蚊</w:t>
      </w:r>
      <w:proofErr w:type="gramEnd"/>
      <w:r w:rsidRPr="00D05067">
        <w:rPr>
          <w:rFonts w:ascii="新細明體" w:hAnsi="新細明體" w:hint="eastAsia"/>
        </w:rPr>
        <w:t>狀況下，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陽性率較之布氏指數有更好的敏感度。</w:t>
      </w:r>
    </w:p>
    <w:p w:rsidR="00D05067" w:rsidRDefault="004D070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布氏指數與</w:t>
      </w:r>
      <w:proofErr w:type="gramStart"/>
      <w:r w:rsidRPr="00D05067">
        <w:rPr>
          <w:rFonts w:ascii="新細明體" w:hAnsi="新細明體" w:hint="eastAsia"/>
        </w:rPr>
        <w:t>誘卵桶</w:t>
      </w:r>
      <w:r w:rsidR="002E35E0" w:rsidRPr="00D05067">
        <w:rPr>
          <w:rFonts w:ascii="新細明體" w:hAnsi="新細明體" w:hint="eastAsia"/>
        </w:rPr>
        <w:t>兩者</w:t>
      </w:r>
      <w:proofErr w:type="gramEnd"/>
      <w:r w:rsidRPr="00D05067">
        <w:rPr>
          <w:rFonts w:ascii="新細明體" w:hAnsi="新細明體" w:hint="eastAsia"/>
        </w:rPr>
        <w:t>只</w:t>
      </w:r>
      <w:r w:rsidR="00206109" w:rsidRPr="00D05067">
        <w:rPr>
          <w:rFonts w:ascii="新細明體" w:hAnsi="新細明體" w:hint="eastAsia"/>
        </w:rPr>
        <w:t>有</w:t>
      </w:r>
      <w:r w:rsidRPr="00D05067">
        <w:rPr>
          <w:rFonts w:ascii="新細明體" w:hAnsi="新細明體" w:hint="eastAsia"/>
        </w:rPr>
        <w:t>中度相關，雖能以</w:t>
      </w:r>
      <w:proofErr w:type="gramStart"/>
      <w:r w:rsidR="008307BB" w:rsidRPr="00D05067">
        <w:rPr>
          <w:rFonts w:ascii="新細明體" w:hAnsi="新細明體" w:hint="eastAsia"/>
        </w:rPr>
        <w:t>迴</w:t>
      </w:r>
      <w:proofErr w:type="gramEnd"/>
      <w:r w:rsidR="008307BB" w:rsidRPr="00D05067">
        <w:rPr>
          <w:rFonts w:ascii="新細明體" w:hAnsi="新細明體" w:hint="eastAsia"/>
        </w:rPr>
        <w:t>歸分析推導出線性方程式，但解釋力不佳，不能直接</w:t>
      </w:r>
      <w:r w:rsidR="00AC3AE6" w:rsidRPr="00D05067">
        <w:rPr>
          <w:rFonts w:ascii="新細明體" w:hAnsi="新細明體" w:hint="eastAsia"/>
        </w:rPr>
        <w:t>互相替代</w:t>
      </w:r>
      <w:r w:rsidR="008307BB" w:rsidRPr="00D05067">
        <w:rPr>
          <w:rFonts w:ascii="新細明體" w:hAnsi="新細明體" w:hint="eastAsia"/>
        </w:rPr>
        <w:t>採用。</w:t>
      </w:r>
    </w:p>
    <w:p w:rsidR="000159C4" w:rsidRPr="00D05067" w:rsidRDefault="002E35E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人口密度高低對於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陽性率的適用性並無明顯差</w:t>
      </w:r>
      <w:r w:rsidRPr="000A7EDB">
        <w:rPr>
          <w:rFonts w:hint="eastAsia"/>
        </w:rPr>
        <w:t>異</w:t>
      </w:r>
      <w:r w:rsidRPr="00D05067">
        <w:rPr>
          <w:rFonts w:ascii="新細明體" w:hAnsi="新細明體" w:hint="eastAsia"/>
        </w:rPr>
        <w:t>。</w:t>
      </w:r>
    </w:p>
    <w:p w:rsidR="002E35E0" w:rsidRDefault="00687643" w:rsidP="00C7581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現行</w:t>
      </w:r>
      <w:r w:rsidR="00336615">
        <w:rPr>
          <w:rFonts w:ascii="新細明體" w:hAnsi="新細明體" w:hint="eastAsia"/>
        </w:rPr>
        <w:t>病媒</w:t>
      </w:r>
      <w:proofErr w:type="gramStart"/>
      <w:r w:rsidR="00336615">
        <w:rPr>
          <w:rFonts w:ascii="新細明體" w:hAnsi="新細明體" w:hint="eastAsia"/>
        </w:rPr>
        <w:t>蚊</w:t>
      </w:r>
      <w:proofErr w:type="gramEnd"/>
      <w:r w:rsidR="00336615">
        <w:rPr>
          <w:rFonts w:ascii="新細明體" w:hAnsi="新細明體" w:hint="eastAsia"/>
        </w:rPr>
        <w:t>密度的調查每日</w:t>
      </w:r>
      <w:r w:rsidR="004134C4">
        <w:rPr>
          <w:rFonts w:ascii="新細明體" w:hAnsi="新細明體" w:hint="eastAsia"/>
        </w:rPr>
        <w:t>都須挨家挨戶調查陽性容器數才能取得</w:t>
      </w:r>
      <w:r w:rsidR="007B5D34">
        <w:rPr>
          <w:rFonts w:ascii="新細明體" w:hAnsi="新細明體" w:hint="eastAsia"/>
        </w:rPr>
        <w:t>如</w:t>
      </w:r>
      <w:r w:rsidR="004134C4">
        <w:rPr>
          <w:rFonts w:ascii="新細明體" w:hAnsi="新細明體" w:hint="eastAsia"/>
        </w:rPr>
        <w:t>布氏指數、住宅指數、容器指數等</w:t>
      </w:r>
      <w:r w:rsidR="00336615">
        <w:rPr>
          <w:rFonts w:ascii="新細明體" w:hAnsi="新細明體" w:hint="eastAsia"/>
        </w:rPr>
        <w:t>數據。</w:t>
      </w:r>
      <w:r w:rsidR="001F4890">
        <w:rPr>
          <w:rFonts w:ascii="新細明體" w:hAnsi="新細明體" w:hint="eastAsia"/>
        </w:rPr>
        <w:t>而</w:t>
      </w:r>
      <w:proofErr w:type="gramStart"/>
      <w:r w:rsidR="00336615">
        <w:rPr>
          <w:rFonts w:ascii="新細明體" w:hAnsi="新細明體" w:hint="eastAsia"/>
        </w:rPr>
        <w:t>誘卵桶</w:t>
      </w:r>
      <w:proofErr w:type="gramEnd"/>
      <w:r w:rsidR="00336615">
        <w:rPr>
          <w:rFonts w:ascii="新細明體" w:hAnsi="新細明體" w:hint="eastAsia"/>
        </w:rPr>
        <w:t>指數調查</w:t>
      </w:r>
      <w:r>
        <w:rPr>
          <w:rFonts w:ascii="新細明體" w:hAnsi="新細明體" w:hint="eastAsia"/>
        </w:rPr>
        <w:t>則</w:t>
      </w:r>
      <w:r w:rsidR="00336615">
        <w:rPr>
          <w:rFonts w:ascii="新細明體" w:hAnsi="新細明體" w:hint="eastAsia"/>
        </w:rPr>
        <w:t>在固定位置安置</w:t>
      </w:r>
      <w:proofErr w:type="gramStart"/>
      <w:r w:rsidR="00336615">
        <w:rPr>
          <w:rFonts w:ascii="新細明體" w:hAnsi="新細明體" w:hint="eastAsia"/>
        </w:rPr>
        <w:t>誘</w:t>
      </w:r>
      <w:proofErr w:type="gramEnd"/>
      <w:r w:rsidR="00336615">
        <w:rPr>
          <w:rFonts w:ascii="新細明體" w:hAnsi="新細明體" w:hint="eastAsia"/>
        </w:rPr>
        <w:t>卵桶後，每周收集桶內</w:t>
      </w:r>
      <w:proofErr w:type="gramStart"/>
      <w:r w:rsidR="00C7581A">
        <w:rPr>
          <w:rFonts w:ascii="新細明體" w:hAnsi="新細明體" w:hint="eastAsia"/>
        </w:rPr>
        <w:t>誘</w:t>
      </w:r>
      <w:r w:rsidR="00336615">
        <w:rPr>
          <w:rFonts w:ascii="新細明體" w:hAnsi="新細明體" w:hint="eastAsia"/>
        </w:rPr>
        <w:t>卵紙</w:t>
      </w:r>
      <w:proofErr w:type="gramEnd"/>
      <w:r w:rsidR="00997F07">
        <w:rPr>
          <w:rFonts w:ascii="新細明體" w:hAnsi="新細明體" w:hint="eastAsia"/>
        </w:rPr>
        <w:t>並以人工計算來</w:t>
      </w:r>
      <w:r w:rsidR="00336615">
        <w:rPr>
          <w:rFonts w:ascii="新細明體" w:hAnsi="新細明體" w:hint="eastAsia"/>
        </w:rPr>
        <w:t>取得陽性率及總</w:t>
      </w:r>
      <w:proofErr w:type="gramStart"/>
      <w:r w:rsidR="00336615">
        <w:rPr>
          <w:rFonts w:ascii="新細明體" w:hAnsi="新細明體" w:hint="eastAsia"/>
        </w:rPr>
        <w:t>卵粒數</w:t>
      </w:r>
      <w:proofErr w:type="gramEnd"/>
      <w:r w:rsidR="00336615">
        <w:rPr>
          <w:rFonts w:ascii="新細明體" w:hAnsi="新細明體" w:hint="eastAsia"/>
        </w:rPr>
        <w:t>指數。前者花費人力時間</w:t>
      </w:r>
      <w:proofErr w:type="gramStart"/>
      <w:r w:rsidR="00336615">
        <w:rPr>
          <w:rFonts w:ascii="新細明體" w:hAnsi="新細明體" w:hint="eastAsia"/>
        </w:rPr>
        <w:t>在家戶訪視</w:t>
      </w:r>
      <w:proofErr w:type="gramEnd"/>
      <w:r w:rsidR="004134C4">
        <w:rPr>
          <w:rFonts w:ascii="新細明體" w:hAnsi="新細明體" w:hint="eastAsia"/>
        </w:rPr>
        <w:t>調查</w:t>
      </w:r>
      <w:r w:rsidR="00336615">
        <w:rPr>
          <w:rFonts w:ascii="新細明體" w:hAnsi="新細明體" w:hint="eastAsia"/>
        </w:rPr>
        <w:t>，後者則是計算</w:t>
      </w:r>
      <w:r w:rsidR="00997F07">
        <w:rPr>
          <w:rFonts w:ascii="新細明體" w:hAnsi="新細明體" w:hint="eastAsia"/>
        </w:rPr>
        <w:t>總</w:t>
      </w:r>
      <w:proofErr w:type="gramStart"/>
      <w:r w:rsidR="00997F07">
        <w:rPr>
          <w:rFonts w:ascii="新細明體" w:hAnsi="新細明體" w:hint="eastAsia"/>
        </w:rPr>
        <w:t>卵粒</w:t>
      </w:r>
      <w:r w:rsidR="00336615">
        <w:rPr>
          <w:rFonts w:ascii="新細明體" w:hAnsi="新細明體" w:hint="eastAsia"/>
        </w:rPr>
        <w:t>數</w:t>
      </w:r>
      <w:proofErr w:type="gramEnd"/>
      <w:r w:rsidR="00997F07">
        <w:rPr>
          <w:rFonts w:ascii="新細明體" w:hAnsi="新細明體" w:hint="eastAsia"/>
        </w:rPr>
        <w:t>時的</w:t>
      </w:r>
      <w:r w:rsidR="004134C4">
        <w:rPr>
          <w:rFonts w:ascii="新細明體" w:hAnsi="新細明體" w:hint="eastAsia"/>
        </w:rPr>
        <w:t>耗時繁瑣</w:t>
      </w:r>
      <w:r w:rsidR="00336615">
        <w:rPr>
          <w:rFonts w:ascii="新細明體" w:hAnsi="新細明體" w:hint="eastAsia"/>
        </w:rPr>
        <w:t>；近年雖有導入</w:t>
      </w:r>
      <w:r w:rsidR="00336615" w:rsidRPr="001E488B">
        <w:rPr>
          <w:rFonts w:asciiTheme="minorHAnsi" w:hAnsiTheme="minorHAnsi" w:cstheme="minorHAnsi"/>
        </w:rPr>
        <w:t>AI</w:t>
      </w:r>
      <w:r w:rsidR="002C1C10">
        <w:rPr>
          <w:rFonts w:ascii="新細明體" w:hAnsi="新細明體" w:hint="eastAsia"/>
        </w:rPr>
        <w:t>科技</w:t>
      </w:r>
      <w:r w:rsidR="00336615">
        <w:rPr>
          <w:rFonts w:ascii="新細明體" w:hAnsi="新細明體" w:hint="eastAsia"/>
        </w:rPr>
        <w:t>來計算</w:t>
      </w:r>
      <w:proofErr w:type="gramStart"/>
      <w:r w:rsidR="006A69F6">
        <w:rPr>
          <w:rFonts w:ascii="新細明體" w:hAnsi="新細明體" w:hint="eastAsia"/>
        </w:rPr>
        <w:t>卵粒數</w:t>
      </w:r>
      <w:r>
        <w:rPr>
          <w:rFonts w:ascii="新細明體" w:hAnsi="新細明體" w:hint="eastAsia"/>
        </w:rPr>
        <w:t>（臺</w:t>
      </w:r>
      <w:proofErr w:type="gramEnd"/>
      <w:r>
        <w:rPr>
          <w:rFonts w:ascii="新細明體" w:hAnsi="新細明體" w:hint="eastAsia"/>
        </w:rPr>
        <w:t>南市政府，</w:t>
      </w:r>
      <w:r w:rsidRPr="001E488B">
        <w:rPr>
          <w:rFonts w:asciiTheme="minorHAnsi" w:hAnsiTheme="minorHAnsi" w:cstheme="minorHAnsi"/>
        </w:rPr>
        <w:t>2020</w:t>
      </w:r>
      <w:r w:rsidRPr="001E488B">
        <w:rPr>
          <w:rFonts w:asciiTheme="minorHAnsi" w:hAnsiTheme="minorHAnsi" w:cstheme="minorHAnsi"/>
        </w:rPr>
        <w:t>）</w:t>
      </w:r>
      <w:r w:rsidR="006A69F6">
        <w:rPr>
          <w:rFonts w:ascii="新細明體" w:hAnsi="新細明體" w:hint="eastAsia"/>
        </w:rPr>
        <w:t>，但還是須</w:t>
      </w:r>
      <w:r w:rsidR="00D35F37">
        <w:rPr>
          <w:rFonts w:ascii="新細明體" w:hAnsi="新細明體" w:hint="eastAsia"/>
        </w:rPr>
        <w:t>花費高成本</w:t>
      </w:r>
      <w:r w:rsidR="006A69F6">
        <w:rPr>
          <w:rFonts w:ascii="新細明體" w:hAnsi="新細明體" w:hint="eastAsia"/>
        </w:rPr>
        <w:t>建置相關軟硬體才能辦到。</w:t>
      </w:r>
    </w:p>
    <w:p w:rsidR="006A69F6" w:rsidRPr="007A0145" w:rsidRDefault="00AC3AE6" w:rsidP="00C368A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7A0145">
        <w:rPr>
          <w:rFonts w:ascii="新細明體" w:hAnsi="新細明體" w:hint="eastAsia"/>
        </w:rPr>
        <w:t>藉</w:t>
      </w:r>
      <w:r w:rsidR="006A69F6" w:rsidRPr="007A0145">
        <w:rPr>
          <w:rFonts w:ascii="新細明體" w:hAnsi="新細明體" w:hint="eastAsia"/>
        </w:rPr>
        <w:t>由</w:t>
      </w:r>
      <w:r w:rsidR="00687643" w:rsidRPr="007A0145">
        <w:rPr>
          <w:rFonts w:ascii="新細明體" w:hAnsi="新細明體" w:hint="eastAsia"/>
        </w:rPr>
        <w:t>此次探討</w:t>
      </w:r>
      <w:r w:rsidR="006A69F6" w:rsidRPr="007A0145">
        <w:rPr>
          <w:rFonts w:ascii="新細明體" w:hAnsi="新細明體" w:hint="eastAsia"/>
        </w:rPr>
        <w:t>，建議</w:t>
      </w:r>
      <w:r w:rsidR="0059623D">
        <w:rPr>
          <w:rFonts w:ascii="新細明體" w:hAnsi="新細明體" w:hint="eastAsia"/>
        </w:rPr>
        <w:t>在承平時期，只要</w:t>
      </w:r>
      <w:r w:rsidR="00454A94">
        <w:rPr>
          <w:rFonts w:ascii="新細明體" w:hAnsi="新細明體" w:hint="eastAsia"/>
        </w:rPr>
        <w:t>每周</w:t>
      </w:r>
      <w:r w:rsidR="0039396D">
        <w:rPr>
          <w:rFonts w:ascii="新細明體" w:hAnsi="新細明體" w:hint="eastAsia"/>
        </w:rPr>
        <w:t>在</w:t>
      </w:r>
      <w:r w:rsidR="0059623D">
        <w:rPr>
          <w:rFonts w:ascii="新細明體" w:hAnsi="新細明體" w:hint="eastAsia"/>
        </w:rPr>
        <w:t>固定點收集</w:t>
      </w:r>
      <w:proofErr w:type="gramStart"/>
      <w:r w:rsidR="0052036F">
        <w:rPr>
          <w:rFonts w:ascii="新細明體" w:hAnsi="新細明體" w:hint="eastAsia"/>
        </w:rPr>
        <w:t>誘卵桶</w:t>
      </w:r>
      <w:proofErr w:type="gramEnd"/>
      <w:r w:rsidR="0052036F">
        <w:rPr>
          <w:rFonts w:ascii="新細明體" w:hAnsi="新細明體" w:hint="eastAsia"/>
        </w:rPr>
        <w:t>陽性率即可</w:t>
      </w:r>
      <w:r w:rsidR="00687643" w:rsidRPr="007A0145">
        <w:rPr>
          <w:rFonts w:ascii="新細明體" w:hAnsi="新細明體" w:hint="eastAsia"/>
        </w:rPr>
        <w:t>，而</w:t>
      </w:r>
      <w:r w:rsidR="00562F6C" w:rsidRPr="007A0145">
        <w:rPr>
          <w:rFonts w:ascii="新細明體" w:hAnsi="新細明體" w:hint="eastAsia"/>
        </w:rPr>
        <w:t>當</w:t>
      </w:r>
      <w:proofErr w:type="gramStart"/>
      <w:r w:rsidR="008C5EBA">
        <w:rPr>
          <w:rFonts w:ascii="新細明體" w:hAnsi="新細明體" w:hint="eastAsia"/>
        </w:rPr>
        <w:t>誘卵桶</w:t>
      </w:r>
      <w:proofErr w:type="gramEnd"/>
      <w:r w:rsidR="00687643" w:rsidRPr="007A0145">
        <w:rPr>
          <w:rFonts w:ascii="新細明體" w:hAnsi="新細明體" w:hint="eastAsia"/>
        </w:rPr>
        <w:t>陽性率高過</w:t>
      </w:r>
      <w:r w:rsidR="00687643" w:rsidRPr="00C368AA">
        <w:t>60%</w:t>
      </w:r>
      <w:r w:rsidR="0039396D">
        <w:rPr>
          <w:rFonts w:hint="eastAsia"/>
        </w:rPr>
        <w:t>時</w:t>
      </w:r>
      <w:r w:rsidR="00687643" w:rsidRPr="007A0145">
        <w:rPr>
          <w:rFonts w:ascii="新細明體" w:hAnsi="新細明體" w:hint="eastAsia"/>
        </w:rPr>
        <w:t>，</w:t>
      </w:r>
      <w:r w:rsidR="00D35F37" w:rsidRPr="007A0145">
        <w:rPr>
          <w:rFonts w:ascii="新細明體" w:hAnsi="新細明體" w:hint="eastAsia"/>
        </w:rPr>
        <w:t>再</w:t>
      </w:r>
      <w:r w:rsidR="00687643" w:rsidRPr="007A0145">
        <w:rPr>
          <w:rFonts w:ascii="新細明體" w:hAnsi="新細明體" w:hint="eastAsia"/>
        </w:rPr>
        <w:t>加入</w:t>
      </w:r>
      <w:r w:rsidR="00093043">
        <w:rPr>
          <w:rFonts w:ascii="新細明體" w:hAnsi="新細明體" w:hint="eastAsia"/>
        </w:rPr>
        <w:t>每日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家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戶的陽性容器</w:t>
      </w:r>
      <w:r w:rsidR="009358E8">
        <w:rPr>
          <w:rFonts w:ascii="新細明體" w:hAnsi="新細明體" w:hint="eastAsia"/>
        </w:rPr>
        <w:t>數</w:t>
      </w:r>
      <w:r w:rsidR="00687643" w:rsidRPr="007A0145">
        <w:rPr>
          <w:rFonts w:ascii="新細明體" w:hAnsi="新細明體" w:hint="eastAsia"/>
        </w:rPr>
        <w:t>調查</w:t>
      </w:r>
      <w:r w:rsidR="007B5D34" w:rsidRPr="007A0145">
        <w:rPr>
          <w:rFonts w:ascii="新細明體" w:hAnsi="新細明體" w:hint="eastAsia"/>
        </w:rPr>
        <w:t>，</w:t>
      </w:r>
      <w:r w:rsidR="006C79DB">
        <w:rPr>
          <w:rFonts w:ascii="新細明體" w:hAnsi="新細明體" w:hint="eastAsia"/>
        </w:rPr>
        <w:t>這樣</w:t>
      </w:r>
      <w:r w:rsidR="008C5EBA">
        <w:rPr>
          <w:rFonts w:ascii="新細明體" w:hAnsi="新細明體" w:hint="eastAsia"/>
        </w:rPr>
        <w:t>在取得</w:t>
      </w:r>
      <w:r w:rsidR="006C79DB">
        <w:rPr>
          <w:rFonts w:ascii="新細明體" w:hAnsi="新細明體" w:hint="eastAsia"/>
        </w:rPr>
        <w:t>同</w:t>
      </w:r>
      <w:r w:rsidR="0039396D">
        <w:rPr>
          <w:rFonts w:ascii="新細明體" w:hAnsi="新細明體" w:hint="eastAsia"/>
        </w:rPr>
        <w:t>等</w:t>
      </w:r>
      <w:r w:rsidR="008C5EBA">
        <w:rPr>
          <w:rFonts w:ascii="新細明體" w:hAnsi="新細明體" w:hint="eastAsia"/>
        </w:rPr>
        <w:t>效</w:t>
      </w:r>
      <w:r w:rsidR="006C79DB">
        <w:rPr>
          <w:rFonts w:ascii="新細明體" w:hAnsi="新細明體" w:hint="eastAsia"/>
        </w:rPr>
        <w:t>果</w:t>
      </w:r>
      <w:r w:rsidR="00042510">
        <w:rPr>
          <w:rFonts w:ascii="新細明體" w:hAnsi="新細明體" w:hint="eastAsia"/>
        </w:rPr>
        <w:t>的</w:t>
      </w:r>
      <w:r w:rsidR="008C5EBA">
        <w:rPr>
          <w:rFonts w:ascii="新細明體" w:hAnsi="新細明體" w:hint="eastAsia"/>
        </w:rPr>
        <w:t>數據前提下</w:t>
      </w:r>
      <w:r w:rsidR="008C5EBA" w:rsidRPr="007A0145">
        <w:rPr>
          <w:rFonts w:ascii="新細明體" w:hAnsi="新細明體" w:hint="eastAsia"/>
        </w:rPr>
        <w:t>，</w:t>
      </w:r>
      <w:r w:rsidR="008C5EBA">
        <w:rPr>
          <w:rFonts w:ascii="新細明體" w:hAnsi="新細明體" w:hint="eastAsia"/>
        </w:rPr>
        <w:t>可大幅降低</w:t>
      </w:r>
      <w:r w:rsidR="006C79DB">
        <w:rPr>
          <w:rFonts w:ascii="新細明體" w:hAnsi="新細明體" w:hint="eastAsia"/>
        </w:rPr>
        <w:t>資源</w:t>
      </w:r>
      <w:r w:rsidR="008C5EBA">
        <w:rPr>
          <w:rFonts w:ascii="新細明體" w:hAnsi="新細明體" w:hint="eastAsia"/>
        </w:rPr>
        <w:t>投入</w:t>
      </w:r>
      <w:r w:rsidR="00966529" w:rsidRPr="007A0145">
        <w:rPr>
          <w:rFonts w:ascii="新細明體" w:hAnsi="新細明體" w:hint="eastAsia"/>
        </w:rPr>
        <w:t>。</w:t>
      </w:r>
    </w:p>
    <w:p w:rsidR="00F32A73" w:rsidRPr="00BF0B9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t>參考文獻</w:t>
      </w:r>
    </w:p>
    <w:p w:rsidR="005E07F7" w:rsidRPr="00C368AA" w:rsidRDefault="005E07F7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 w:rsidRPr="006F2AD2">
        <w:rPr>
          <w:rFonts w:hint="eastAsia"/>
        </w:rPr>
        <w:t>中央通訊社</w:t>
      </w:r>
      <w:r w:rsidRPr="006F2AD2"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2015</w:t>
      </w:r>
      <w:r w:rsidRPr="006F2AD2"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11</w:t>
      </w:r>
      <w:r w:rsidRPr="006F2AD2"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4</w:t>
      </w:r>
      <w:r w:rsidRPr="006F2AD2">
        <w:rPr>
          <w:rFonts w:ascii="新細明體" w:hAnsi="新細明體" w:hint="eastAsia"/>
        </w:rPr>
        <w:t>日）。</w:t>
      </w:r>
      <w:r w:rsidR="00A110CE" w:rsidRPr="006F2AD2">
        <w:rPr>
          <w:rFonts w:ascii="新細明體" w:hAnsi="新細明體" w:hint="eastAsia"/>
        </w:rPr>
        <w:t>登革熱再添</w:t>
      </w:r>
      <w:r w:rsidR="00A110CE" w:rsidRPr="00C368AA">
        <w:rPr>
          <w:rFonts w:asciiTheme="minorHAnsi" w:hAnsiTheme="minorHAnsi" w:cstheme="minorHAnsi"/>
        </w:rPr>
        <w:t>12</w:t>
      </w:r>
      <w:r w:rsidR="00A110CE" w:rsidRPr="006F2AD2">
        <w:rPr>
          <w:rFonts w:ascii="新細明體" w:hAnsi="新細明體" w:hint="eastAsia"/>
        </w:rPr>
        <w:t>死，全台</w:t>
      </w:r>
      <w:r w:rsidR="00A110CE" w:rsidRPr="00C368AA">
        <w:rPr>
          <w:rFonts w:asciiTheme="minorHAnsi" w:hAnsiTheme="minorHAnsi" w:cstheme="minorHAnsi"/>
        </w:rPr>
        <w:t>141</w:t>
      </w:r>
      <w:r w:rsidR="00A110CE" w:rsidRPr="006F2AD2">
        <w:rPr>
          <w:rFonts w:ascii="新細明體" w:hAnsi="新細明體" w:hint="eastAsia"/>
        </w:rPr>
        <w:t>例死亡。</w:t>
      </w:r>
      <w:hyperlink r:id="rId15" w:history="1">
        <w:r w:rsidR="00A110CE"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https://www.cna.com.tw/news/firstnews/201511045012.aspx</w:t>
        </w:r>
      </w:hyperlink>
      <w:r w:rsidR="00C368AA" w:rsidRPr="00C368AA">
        <w:rPr>
          <w:rFonts w:asciiTheme="minorHAnsi" w:hAnsiTheme="minorHAnsi" w:cstheme="minorHAnsi"/>
        </w:rPr>
        <w:t>。</w:t>
      </w:r>
    </w:p>
    <w:p w:rsidR="00F32A73" w:rsidRPr="001A26C2" w:rsidRDefault="005C0239" w:rsidP="00D632B0">
      <w:pPr>
        <w:pStyle w:val="a9"/>
        <w:kinsoku w:val="0"/>
        <w:wordWrap w:val="0"/>
        <w:topLinePunct/>
        <w:spacing w:beforeLines="100" w:before="360"/>
        <w:ind w:leftChars="0" w:left="482"/>
        <w:rPr>
          <w:rFonts w:asciiTheme="minorHAnsi" w:hAnsiTheme="minorHAnsi" w:cstheme="minorHAnsi"/>
        </w:rPr>
      </w:pPr>
      <w:r>
        <w:rPr>
          <w:rFonts w:asciiTheme="minorEastAsia" w:eastAsiaTheme="minorEastAsia" w:hAnsiTheme="minorEastAsia" w:hint="eastAsia"/>
        </w:rPr>
        <w:t>衛生福利部</w:t>
      </w:r>
      <w:r w:rsidR="00F32A73">
        <w:rPr>
          <w:rFonts w:hint="eastAsia"/>
        </w:rPr>
        <w:t>疾病管制署</w:t>
      </w:r>
      <w:r w:rsidR="00F32A73">
        <w:rPr>
          <w:rFonts w:ascii="新細明體" w:hAnsi="新細明體" w:hint="eastAsia"/>
        </w:rPr>
        <w:t>（</w:t>
      </w:r>
      <w:r w:rsidR="00F32A73" w:rsidRPr="00C368AA">
        <w:rPr>
          <w:rFonts w:asciiTheme="minorHAnsi" w:hAnsiTheme="minorHAnsi" w:cstheme="minorHAnsi"/>
        </w:rPr>
        <w:t>2012</w:t>
      </w:r>
      <w:r w:rsidR="00F32A73">
        <w:rPr>
          <w:rFonts w:ascii="新細明體" w:hAnsi="新細明體" w:hint="eastAsia"/>
        </w:rPr>
        <w:t>年</w:t>
      </w:r>
      <w:r w:rsidR="00F32A73" w:rsidRPr="00C368AA">
        <w:rPr>
          <w:rFonts w:asciiTheme="minorHAnsi" w:hAnsiTheme="minorHAnsi" w:cstheme="minorHAnsi"/>
        </w:rPr>
        <w:t>12</w:t>
      </w:r>
      <w:r w:rsidR="00F32A73">
        <w:rPr>
          <w:rFonts w:ascii="新細明體" w:hAnsi="新細明體" w:hint="eastAsia"/>
        </w:rPr>
        <w:t>月</w:t>
      </w:r>
      <w:r w:rsidR="00F32A73" w:rsidRPr="00C368AA">
        <w:rPr>
          <w:rFonts w:asciiTheme="minorHAnsi" w:hAnsiTheme="minorHAnsi" w:cstheme="minorHAnsi"/>
        </w:rPr>
        <w:t>6</w:t>
      </w:r>
      <w:r w:rsidR="00AC3EF3">
        <w:rPr>
          <w:rFonts w:ascii="新細明體" w:hAnsi="新細明體" w:hint="eastAsia"/>
        </w:rPr>
        <w:t>日）。登革熱</w:t>
      </w:r>
      <w:proofErr w:type="gramStart"/>
      <w:r w:rsidR="00AC3EF3">
        <w:rPr>
          <w:rFonts w:ascii="新細明體" w:hAnsi="新細明體" w:hint="eastAsia"/>
        </w:rPr>
        <w:t>病媒</w:t>
      </w:r>
      <w:r w:rsidR="00D632B0">
        <w:rPr>
          <w:rFonts w:ascii="新細明體" w:hAnsi="新細明體" w:hint="eastAsia"/>
        </w:rPr>
        <w:t>蚊</w:t>
      </w:r>
      <w:r w:rsidR="00F32A73">
        <w:rPr>
          <w:rFonts w:ascii="新細明體" w:hAnsi="新細明體" w:hint="eastAsia"/>
        </w:rPr>
        <w:t>數</w:t>
      </w:r>
      <w:proofErr w:type="gramEnd"/>
      <w:r w:rsidR="00F32A73">
        <w:rPr>
          <w:rFonts w:ascii="新細明體" w:hAnsi="新細明體" w:hint="eastAsia"/>
        </w:rPr>
        <w:t>。</w:t>
      </w:r>
      <w:hyperlink r:id="rId16" w:history="1">
        <w:r w:rsidR="00F32A73" w:rsidRPr="001A26C2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https://www.cdc.gov.tw/Category/ListContent/0BhRQWTf3QSkAys2TE_qQg?uaid=BGrMYW2LrvhzFjT5xxgrP</w:t>
        </w:r>
      </w:hyperlink>
      <w:r w:rsidR="001A26C2" w:rsidRPr="001A26C2">
        <w:rPr>
          <w:rStyle w:val="a6"/>
          <w:rFonts w:asciiTheme="minorHAnsi" w:hAnsiTheme="minorHAnsi" w:cstheme="minorHAnsi"/>
          <w:color w:val="auto"/>
          <w:u w:val="none"/>
        </w:rPr>
        <w:t>w</w:t>
      </w:r>
      <w:r w:rsidR="001A26C2" w:rsidRPr="001A26C2">
        <w:rPr>
          <w:rFonts w:asciiTheme="minorHAnsi" w:hAnsiTheme="minorHAnsi" w:cstheme="minorHAnsi"/>
        </w:rPr>
        <w:t>。</w:t>
      </w:r>
    </w:p>
    <w:p w:rsidR="00FE1DA4" w:rsidRDefault="00FE1DA4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國家衛生研究院（無日期）。</w:t>
      </w:r>
      <w:r>
        <w:rPr>
          <w:rFonts w:ascii="新細明體" w:hAnsi="新細明體"/>
          <w:bCs/>
        </w:rPr>
        <w:t>成立病媒</w:t>
      </w:r>
      <w:proofErr w:type="gramStart"/>
      <w:r>
        <w:rPr>
          <w:rFonts w:ascii="新細明體" w:hAnsi="新細明體"/>
          <w:bCs/>
        </w:rPr>
        <w:t>蚊</w:t>
      </w:r>
      <w:proofErr w:type="gramEnd"/>
      <w:r>
        <w:rPr>
          <w:rFonts w:ascii="新細明體" w:hAnsi="新細明體"/>
          <w:bCs/>
        </w:rPr>
        <w:t>防疫研究</w:t>
      </w:r>
      <w:r w:rsidRPr="00C722BD">
        <w:rPr>
          <w:rFonts w:ascii="新細明體" w:hAnsi="新細明體"/>
          <w:bCs/>
        </w:rPr>
        <w:t>部隊</w:t>
      </w:r>
      <w:r>
        <w:rPr>
          <w:rFonts w:ascii="新細明體" w:hAnsi="新細明體" w:hint="eastAsia"/>
        </w:rPr>
        <w:t>。</w:t>
      </w:r>
      <w:r w:rsidR="00623953">
        <w:rPr>
          <w:rFonts w:asciiTheme="minorHAnsi" w:hAnsiTheme="minorHAnsi" w:cstheme="minorHAnsi"/>
        </w:rPr>
        <w:t>2022</w:t>
      </w:r>
      <w:r w:rsidR="00623953">
        <w:rPr>
          <w:rFonts w:ascii="新細明體" w:hAnsi="新細明體" w:hint="eastAsia"/>
        </w:rPr>
        <w:t>年</w:t>
      </w:r>
      <w:r w:rsidR="00623953" w:rsidRPr="00C368AA">
        <w:rPr>
          <w:rFonts w:asciiTheme="minorHAnsi" w:hAnsiTheme="minorHAnsi" w:cstheme="minorHAnsi"/>
        </w:rPr>
        <w:t>12</w:t>
      </w:r>
      <w:r w:rsidR="00623953">
        <w:rPr>
          <w:rFonts w:ascii="新細明體" w:hAnsi="新細明體" w:hint="eastAsia"/>
        </w:rPr>
        <w:t>月</w:t>
      </w:r>
      <w:r w:rsidR="00623953" w:rsidRPr="00C368AA">
        <w:rPr>
          <w:rFonts w:asciiTheme="minorHAnsi" w:hAnsiTheme="minorHAnsi" w:cstheme="minorHAnsi"/>
        </w:rPr>
        <w:t>6</w:t>
      </w:r>
      <w:r w:rsidR="00623953">
        <w:rPr>
          <w:rFonts w:ascii="新細明體" w:hAnsi="新細明體" w:hint="eastAsia"/>
        </w:rPr>
        <w:t>日</w:t>
      </w:r>
      <w:r w:rsidR="000B0B2C" w:rsidRPr="006F2AD2">
        <w:rPr>
          <w:rFonts w:ascii="新細明體" w:hAnsi="新細明體" w:hint="eastAsia"/>
        </w:rPr>
        <w:t>，</w:t>
      </w:r>
      <w:hyperlink r:id="rId17" w:history="1">
        <w:r w:rsidRPr="00FE1DA4">
          <w:rPr>
            <w:rStyle w:val="a6"/>
            <w:rFonts w:asciiTheme="minorHAnsi" w:hAnsiTheme="minorHAnsi" w:cstheme="minorHAnsi"/>
            <w:color w:val="auto"/>
            <w:u w:val="none"/>
          </w:rPr>
          <w:t>https://nmbdcrc.nhri.org.tw/research-topic/achievements</w:t>
        </w:r>
      </w:hyperlink>
      <w:r w:rsidRPr="001A26C2">
        <w:rPr>
          <w:rFonts w:asciiTheme="minorHAnsi" w:hAnsiTheme="minorHAnsi" w:cstheme="minorHAnsi"/>
        </w:rPr>
        <w:t>。</w:t>
      </w:r>
    </w:p>
    <w:p w:rsidR="00F32A73" w:rsidRDefault="00F32A73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韓明榮、白秀華、蔡武雄、陳朝東、</w:t>
      </w:r>
      <w:proofErr w:type="gramStart"/>
      <w:r>
        <w:rPr>
          <w:rFonts w:ascii="新細明體" w:hAnsi="新細明體" w:hint="eastAsia"/>
        </w:rPr>
        <w:t>潘炤</w:t>
      </w:r>
      <w:proofErr w:type="gramEnd"/>
      <w:r>
        <w:rPr>
          <w:rFonts w:ascii="新細明體" w:hAnsi="新細明體" w:hint="eastAsia"/>
        </w:rPr>
        <w:t>穎、林子容、黃美惠、林秀蓉、鄭志明、黃志堅、李俊毅、石裕馨（</w:t>
      </w:r>
      <w:r w:rsidRPr="00C368AA">
        <w:t>2005</w:t>
      </w:r>
      <w:r>
        <w:rPr>
          <w:rFonts w:ascii="新細明體" w:hAnsi="新細明體" w:hint="eastAsia"/>
        </w:rPr>
        <w:t>）。</w:t>
      </w:r>
      <w:r>
        <w:t>高雄市登革熱病媒</w:t>
      </w:r>
      <w:proofErr w:type="gramStart"/>
      <w:r>
        <w:t>蚊</w:t>
      </w:r>
      <w:proofErr w:type="gramEnd"/>
      <w:r>
        <w:t>密度調查與</w:t>
      </w:r>
      <w:proofErr w:type="gramStart"/>
      <w:r>
        <w:t>誘</w:t>
      </w:r>
      <w:proofErr w:type="gramEnd"/>
      <w:r>
        <w:t>蚊產卵器監測成果之相關性研討</w:t>
      </w:r>
      <w:r>
        <w:rPr>
          <w:rFonts w:ascii="新細明體" w:hAnsi="新細明體" w:hint="eastAsia"/>
        </w:rPr>
        <w:t>。</w:t>
      </w:r>
      <w:hyperlink r:id="rId18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https://www.cdc.gov.tw/Professional/ProgramResultInfo/LeYn5b0UwF_lgvjR5rhT-A?programResultId=FCuaVqrQkQcMjdoP9JEw9w</w:t>
        </w:r>
      </w:hyperlink>
      <w:r>
        <w:rPr>
          <w:rFonts w:ascii="新細明體" w:hAnsi="新細明體" w:hint="eastAsia"/>
        </w:rPr>
        <w:t>。</w:t>
      </w:r>
    </w:p>
    <w:p w:rsidR="00F32A73" w:rsidRDefault="00F32A73" w:rsidP="00F32A73">
      <w:pPr>
        <w:pStyle w:val="a9"/>
        <w:spacing w:beforeLines="100" w:before="360"/>
        <w:ind w:leftChars="0"/>
        <w:jc w:val="both"/>
      </w:pPr>
      <w:r>
        <w:rPr>
          <w:rFonts w:hint="eastAsia"/>
        </w:rPr>
        <w:lastRenderedPageBreak/>
        <w:t>何兆美</w:t>
      </w:r>
      <w:r>
        <w:rPr>
          <w:rFonts w:ascii="新細明體" w:hAnsi="新細明體" w:hint="eastAsia"/>
        </w:rPr>
        <w:t>、馮建中、楊正大、林明薇、鄧華真、賴明和、林鼎翔、徐爾烈、吳淑靜、白秀華、殷之銘（</w:t>
      </w:r>
      <w:r w:rsidRPr="00C368AA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</w:t>
      </w:r>
      <w:r w:rsidR="00127D1F">
        <w:rPr>
          <w:rFonts w:ascii="新細明體" w:hAnsi="新細明體" w:hint="eastAsia"/>
        </w:rPr>
        <w:t>。</w:t>
      </w:r>
      <w:r>
        <w:rPr>
          <w:rFonts w:ascii="新細明體" w:hAnsi="新細明體" w:hint="eastAsia"/>
        </w:rPr>
        <w:t>以</w:t>
      </w:r>
      <w:proofErr w:type="gramStart"/>
      <w:r>
        <w:rPr>
          <w:rFonts w:ascii="新細明體" w:hAnsi="新細明體" w:hint="eastAsia"/>
        </w:rPr>
        <w:t>誘卵器</w:t>
      </w:r>
      <w:proofErr w:type="gramEnd"/>
      <w:r>
        <w:rPr>
          <w:rFonts w:ascii="新細明體" w:hAnsi="新細明體" w:hint="eastAsia"/>
        </w:rPr>
        <w:t>監測高雄市及</w:t>
      </w:r>
      <w:proofErr w:type="gramStart"/>
      <w:r w:rsidR="00D35F37">
        <w:rPr>
          <w:rFonts w:ascii="新細明體" w:hAnsi="新細明體" w:hint="eastAsia"/>
        </w:rPr>
        <w:t>臺</w:t>
      </w:r>
      <w:proofErr w:type="gramEnd"/>
      <w:r w:rsidR="00D35F37">
        <w:rPr>
          <w:rFonts w:ascii="新細明體" w:hAnsi="新細明體" w:hint="eastAsia"/>
        </w:rPr>
        <w:t>南</w:t>
      </w:r>
      <w:r>
        <w:rPr>
          <w:rFonts w:ascii="新細明體" w:hAnsi="新細明體" w:hint="eastAsia"/>
        </w:rPr>
        <w:t>市的登革熱病媒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研究報告。</w:t>
      </w:r>
      <w:r w:rsidRPr="006370EA">
        <w:rPr>
          <w:rFonts w:ascii="新細明體" w:hAnsi="新細明體" w:hint="eastAsia"/>
          <w:b/>
        </w:rPr>
        <w:t>台灣昆蟲</w:t>
      </w:r>
      <w:r w:rsidRPr="00384FD3">
        <w:rPr>
          <w:rFonts w:ascii="新細明體" w:hAnsi="新細明體" w:hint="eastAsia"/>
          <w:b/>
        </w:rPr>
        <w:t>，25</w:t>
      </w:r>
      <w:r>
        <w:rPr>
          <w:rFonts w:ascii="新細明體" w:hAnsi="新細明體" w:hint="eastAsia"/>
        </w:rPr>
        <w:t>，159-174。</w:t>
      </w:r>
    </w:p>
    <w:p w:rsidR="00F32A73" w:rsidRDefault="00F32A73" w:rsidP="00F32A73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t>任飞林</w:t>
      </w:r>
      <w:r>
        <w:rPr>
          <w:rFonts w:ascii="新細明體" w:hAnsi="新細明體" w:hint="eastAsia"/>
        </w:rPr>
        <w:t>、</w:t>
      </w:r>
      <w:r>
        <w:t>沈建勇</w:t>
      </w:r>
      <w:r>
        <w:rPr>
          <w:rFonts w:ascii="新細明體" w:hAnsi="新細明體" w:hint="eastAsia"/>
        </w:rPr>
        <w:t>、</w:t>
      </w:r>
      <w:r>
        <w:t>刘婷</w:t>
      </w:r>
      <w:r>
        <w:rPr>
          <w:rFonts w:ascii="新細明體" w:hAnsi="新細明體" w:hint="eastAsia"/>
        </w:rPr>
        <w:t>、</w:t>
      </w:r>
      <w:r>
        <w:t>彭财伟</w:t>
      </w:r>
      <w:r>
        <w:rPr>
          <w:rFonts w:ascii="新細明體" w:hAnsi="新細明體" w:hint="eastAsia"/>
        </w:rPr>
        <w:t>、</w:t>
      </w:r>
      <w:r>
        <w:t>刘腾</w:t>
      </w:r>
      <w:r>
        <w:rPr>
          <w:rFonts w:ascii="新細明體" w:hAnsi="新細明體" w:hint="eastAsia"/>
        </w:rPr>
        <w:t>、</w:t>
      </w:r>
      <w:r>
        <w:t>刘光涛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</w:t>
      </w:r>
      <w:r>
        <w:t>布雷图指数法与诱蚊诱卵指数法监测白纹伊蚊幼虫密度相关性分析</w:t>
      </w:r>
      <w:r>
        <w:rPr>
          <w:rFonts w:ascii="新細明體" w:hAnsi="新細明體" w:hint="eastAsia"/>
        </w:rPr>
        <w:t>。</w:t>
      </w:r>
      <w:r w:rsidRPr="0019200C">
        <w:rPr>
          <w:rFonts w:ascii="新細明體" w:hAnsi="新細明體" w:hint="eastAsia"/>
          <w:b/>
        </w:rPr>
        <w:t>疾病監測</w:t>
      </w:r>
      <w:r>
        <w:rPr>
          <w:rFonts w:ascii="新細明體" w:hAnsi="新細明體" w:hint="eastAsia"/>
          <w:b/>
        </w:rPr>
        <w:t>，</w:t>
      </w:r>
      <w:r w:rsidRPr="00C368AA">
        <w:rPr>
          <w:rFonts w:asciiTheme="minorHAnsi" w:hAnsiTheme="minorHAnsi" w:cstheme="minorHAnsi"/>
          <w:b/>
        </w:rPr>
        <w:t>36</w:t>
      </w:r>
      <w:r w:rsidRPr="00C368AA">
        <w:rPr>
          <w:rFonts w:asciiTheme="minorHAnsi" w:hAnsiTheme="minorHAnsi" w:cstheme="minorHAnsi"/>
        </w:rPr>
        <w:t>（</w:t>
      </w:r>
      <w:r w:rsidRPr="00C368AA">
        <w:rPr>
          <w:rFonts w:asciiTheme="minorHAnsi" w:hAnsiTheme="minorHAnsi" w:cstheme="minorHAnsi"/>
        </w:rPr>
        <w:t>9</w:t>
      </w:r>
      <w:r w:rsidRPr="00C368AA">
        <w:rPr>
          <w:rFonts w:asciiTheme="minorHAnsi" w:hAnsiTheme="minorHAnsi" w:cstheme="minorHAnsi"/>
        </w:rPr>
        <w:t>），</w:t>
      </w:r>
      <w:r w:rsidRPr="00C368AA">
        <w:rPr>
          <w:rFonts w:asciiTheme="minorHAnsi" w:hAnsiTheme="minorHAnsi" w:cstheme="minorHAnsi"/>
        </w:rPr>
        <w:t>888-893</w:t>
      </w:r>
      <w:r>
        <w:rPr>
          <w:rFonts w:ascii="新細明體" w:hAnsi="新細明體" w:hint="eastAsia"/>
        </w:rPr>
        <w:t>。</w:t>
      </w:r>
    </w:p>
    <w:p w:rsidR="001F582B" w:rsidRDefault="00F32A73" w:rsidP="00837C2B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）。探討環境因子對白線斑蚊產卵行為的影響。</w:t>
      </w:r>
      <w:hyperlink r:id="rId19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https://twsf.ntsec.gov.tw/activity/race-1/61/pdf/NPHSF2021-052004.pdf</w:t>
        </w:r>
      </w:hyperlink>
      <w:r w:rsidRPr="004A0048">
        <w:rPr>
          <w:rFonts w:asciiTheme="minorHAnsi" w:hAnsiTheme="minorHAnsi" w:cstheme="minorHAnsi"/>
        </w:rPr>
        <w:t>。</w:t>
      </w:r>
    </w:p>
    <w:p w:rsidR="00F32A73" w:rsidRPr="00567425" w:rsidRDefault="001F582B" w:rsidP="00567425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proofErr w:type="gramStart"/>
      <w:r w:rsidRPr="001F582B">
        <w:rPr>
          <w:rFonts w:ascii="新細明體" w:hAnsi="新細明體" w:hint="eastAsia"/>
          <w:bCs/>
        </w:rPr>
        <w:t>臺</w:t>
      </w:r>
      <w:proofErr w:type="gramEnd"/>
      <w:r w:rsidRPr="001F582B">
        <w:rPr>
          <w:rFonts w:ascii="新細明體" w:hAnsi="新細明體" w:hint="eastAsia"/>
          <w:bCs/>
        </w:rPr>
        <w:t>南市政府（</w:t>
      </w:r>
      <w:r w:rsidRPr="00C368AA">
        <w:rPr>
          <w:rFonts w:asciiTheme="minorHAnsi" w:hAnsiTheme="minorHAnsi" w:cstheme="minorHAnsi"/>
          <w:bCs/>
        </w:rPr>
        <w:t>2020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8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13</w:t>
      </w:r>
      <w:r w:rsidRPr="001F582B">
        <w:rPr>
          <w:rFonts w:ascii="新細明體" w:hAnsi="新細明體" w:hint="eastAsia"/>
          <w:bCs/>
        </w:rPr>
        <w:t>日）。</w:t>
      </w:r>
      <w:r w:rsidRPr="001F582B">
        <w:rPr>
          <w:rFonts w:ascii="新細明體" w:hAnsi="新細明體"/>
        </w:rPr>
        <w:t>全國首創「AI登革熱防疫平台」</w:t>
      </w:r>
      <w:r w:rsidR="00127D1F" w:rsidRPr="006F2AD2">
        <w:rPr>
          <w:rFonts w:ascii="新細明體" w:hAnsi="新細明體" w:hint="eastAsia"/>
        </w:rPr>
        <w:t>，</w:t>
      </w:r>
      <w:r w:rsidRPr="001F582B">
        <w:rPr>
          <w:rFonts w:ascii="新細明體" w:hAnsi="新細明體"/>
        </w:rPr>
        <w:t>科技辨「蚊」精</w:t>
      </w:r>
      <w:proofErr w:type="gramStart"/>
      <w:r w:rsidRPr="001F582B">
        <w:rPr>
          <w:rFonts w:ascii="新細明體" w:hAnsi="新細明體"/>
        </w:rPr>
        <w:t>準</w:t>
      </w:r>
      <w:proofErr w:type="gramEnd"/>
      <w:r w:rsidRPr="001F582B">
        <w:rPr>
          <w:rFonts w:ascii="新細明體" w:hAnsi="新細明體"/>
        </w:rPr>
        <w:t>防治</w:t>
      </w:r>
      <w:r>
        <w:rPr>
          <w:rFonts w:ascii="新細明體" w:hAnsi="新細明體" w:hint="eastAsia"/>
        </w:rPr>
        <w:t>。</w:t>
      </w:r>
      <w:hyperlink r:id="rId20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https://www.tainan.gov.tw/News_Content.aspx?n=13371&amp;s=7702742</w:t>
        </w:r>
      </w:hyperlink>
      <w:r w:rsidRPr="00C368AA">
        <w:rPr>
          <w:rFonts w:asciiTheme="minorHAnsi" w:hAnsiTheme="minorHAnsi" w:cstheme="minorHAnsi"/>
        </w:rPr>
        <w:t>。</w:t>
      </w:r>
    </w:p>
    <w:p w:rsidR="00890BD7" w:rsidRPr="00890BD7" w:rsidRDefault="00890BD7" w:rsidP="00C368AA">
      <w:pPr>
        <w:pStyle w:val="a9"/>
        <w:wordWrap w:val="0"/>
        <w:spacing w:beforeLines="100" w:before="360"/>
        <w:ind w:leftChars="0" w:left="482"/>
        <w:jc w:val="both"/>
      </w:pPr>
      <w:r>
        <w:tab/>
      </w:r>
      <w:r>
        <w:rPr>
          <w:rFonts w:hint="eastAsia"/>
        </w:rPr>
        <w:t>圖一</w:t>
      </w:r>
      <w:r>
        <w:rPr>
          <w:rFonts w:ascii="新細明體" w:hAnsi="新細明體" w:hint="eastAsia"/>
        </w:rPr>
        <w:t>。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r w:rsidRPr="001F582B">
        <w:rPr>
          <w:rFonts w:ascii="新細明體" w:hAnsi="新細明體" w:hint="eastAsia"/>
          <w:bCs/>
        </w:rPr>
        <w:t>（</w:t>
      </w:r>
      <w:r w:rsidRPr="00C368AA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29</w:t>
      </w:r>
      <w:r w:rsidRPr="001F582B">
        <w:rPr>
          <w:rFonts w:ascii="新細明體" w:hAnsi="新細明體" w:hint="eastAsia"/>
          <w:bCs/>
        </w:rPr>
        <w:t>日）。</w:t>
      </w:r>
      <w:proofErr w:type="gramStart"/>
      <w:r>
        <w:rPr>
          <w:rFonts w:ascii="新細明體" w:hAnsi="新細明體" w:hint="eastAsia"/>
          <w:bCs/>
        </w:rPr>
        <w:t>臺</w:t>
      </w:r>
      <w:proofErr w:type="gramEnd"/>
      <w:r>
        <w:rPr>
          <w:rFonts w:ascii="新細明體" w:hAnsi="新細明體" w:hint="eastAsia"/>
          <w:bCs/>
        </w:rPr>
        <w:t>南市政府使用</w:t>
      </w:r>
      <w:proofErr w:type="gramStart"/>
      <w:r>
        <w:rPr>
          <w:rFonts w:ascii="新細明體" w:hAnsi="新細明體" w:hint="eastAsia"/>
          <w:bCs/>
        </w:rPr>
        <w:t>誘卵桶</w:t>
      </w:r>
      <w:proofErr w:type="gramEnd"/>
      <w:r w:rsidR="00C34C4E">
        <w:rPr>
          <w:rFonts w:ascii="新細明體" w:hAnsi="新細明體" w:hint="eastAsia"/>
          <w:bCs/>
        </w:rPr>
        <w:t>監控</w:t>
      </w:r>
      <w:r w:rsidRPr="001F582B">
        <w:rPr>
          <w:rFonts w:ascii="新細明體" w:hAnsi="新細明體" w:hint="eastAsia"/>
          <w:bCs/>
        </w:rPr>
        <w:t>。</w:t>
      </w:r>
      <w:hyperlink r:id="rId21" w:history="1">
        <w:r w:rsidRPr="004A0048">
          <w:rPr>
            <w:rStyle w:val="a6"/>
            <w:rFonts w:asciiTheme="minorHAnsi" w:hAnsiTheme="minorHAnsi" w:cstheme="minorHAnsi"/>
            <w:bCs/>
            <w:color w:val="auto"/>
            <w:u w:val="none"/>
          </w:rPr>
          <w:t>https://health.tainan.gov.tw/dengue/page.asp?mainid=%7B3CDBBF11-6045-4F65-891B-8AEC859E2AAE%7D</w:t>
        </w:r>
      </w:hyperlink>
      <w:r w:rsidR="00C368AA" w:rsidRPr="00C368AA">
        <w:rPr>
          <w:rFonts w:asciiTheme="minorHAnsi" w:hAnsiTheme="minorHAnsi" w:cstheme="minorHAnsi"/>
        </w:rPr>
        <w:t>。</w:t>
      </w:r>
    </w:p>
    <w:sectPr w:rsidR="00890BD7" w:rsidRPr="00890BD7" w:rsidSect="005F4D0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0EB" w:rsidRDefault="003A00EB" w:rsidP="00F32A73">
      <w:r>
        <w:separator/>
      </w:r>
    </w:p>
  </w:endnote>
  <w:endnote w:type="continuationSeparator" w:id="0">
    <w:p w:rsidR="003A00EB" w:rsidRDefault="003A00EB" w:rsidP="00F3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125426"/>
      <w:docPartObj>
        <w:docPartGallery w:val="Page Numbers (Bottom of Page)"/>
        <w:docPartUnique/>
      </w:docPartObj>
    </w:sdtPr>
    <w:sdtEndPr/>
    <w:sdtContent>
      <w:p w:rsidR="00D57F0B" w:rsidRDefault="00D57F0B" w:rsidP="005F4D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FD" w:rsidRPr="00156BFD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327503"/>
      <w:docPartObj>
        <w:docPartGallery w:val="Page Numbers (Bottom of Page)"/>
        <w:docPartUnique/>
      </w:docPartObj>
    </w:sdtPr>
    <w:sdtEndPr/>
    <w:sdtContent>
      <w:p w:rsidR="00D57F0B" w:rsidRDefault="00D57F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BFD" w:rsidRPr="00156BFD">
          <w:rPr>
            <w:noProof/>
            <w:lang w:val="zh-TW"/>
          </w:rPr>
          <w:t>1</w:t>
        </w:r>
        <w:r>
          <w:fldChar w:fldCharType="end"/>
        </w:r>
      </w:p>
    </w:sdtContent>
  </w:sdt>
  <w:p w:rsidR="00D57F0B" w:rsidRDefault="00D57F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0EB" w:rsidRDefault="003A00EB" w:rsidP="00F32A73">
      <w:r>
        <w:separator/>
      </w:r>
    </w:p>
  </w:footnote>
  <w:footnote w:type="continuationSeparator" w:id="0">
    <w:p w:rsidR="003A00EB" w:rsidRDefault="003A00EB" w:rsidP="00F3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Pr="00FC68E0" w:rsidRDefault="00D57F0B" w:rsidP="00D57F0B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BE1890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  <w:p w:rsidR="00D57F0B" w:rsidRDefault="00D57F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747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07225846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">
    <w:nsid w:val="12BA2EC1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">
    <w:nsid w:val="174B3BC7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4">
    <w:nsid w:val="1961558F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5">
    <w:nsid w:val="1E3F009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1185DFF"/>
    <w:multiLevelType w:val="hybridMultilevel"/>
    <w:tmpl w:val="25605B5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59DCAAE6">
      <w:numFmt w:val="bullet"/>
      <w:lvlText w:val=""/>
      <w:lvlJc w:val="left"/>
      <w:pPr>
        <w:ind w:left="840" w:hanging="360"/>
      </w:pPr>
      <w:rPr>
        <w:rFonts w:ascii="Wingdings" w:eastAsia="新細明體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07E53"/>
    <w:multiLevelType w:val="hybridMultilevel"/>
    <w:tmpl w:val="FE2A4546"/>
    <w:lvl w:ilvl="0" w:tplc="4A9804D6">
      <w:start w:val="1"/>
      <w:numFmt w:val="decimal"/>
      <w:lvlText w:val="（%1）"/>
      <w:lvlJc w:val="left"/>
      <w:pPr>
        <w:ind w:left="207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8">
    <w:nsid w:val="24F61E60"/>
    <w:multiLevelType w:val="hybridMultilevel"/>
    <w:tmpl w:val="3F146114"/>
    <w:lvl w:ilvl="0" w:tplc="B4BAB5A2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27445E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0">
    <w:nsid w:val="28AF7A44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1">
    <w:nsid w:val="2F17450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2">
    <w:nsid w:val="3D221335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3">
    <w:nsid w:val="3DE65E7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04D0CB6"/>
    <w:multiLevelType w:val="hybridMultilevel"/>
    <w:tmpl w:val="3FAC3C32"/>
    <w:lvl w:ilvl="0" w:tplc="BCFC9614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32786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6">
    <w:nsid w:val="44ED04D4"/>
    <w:multiLevelType w:val="hybridMultilevel"/>
    <w:tmpl w:val="FDD69E96"/>
    <w:lvl w:ilvl="0" w:tplc="4A9804D6">
      <w:start w:val="1"/>
      <w:numFmt w:val="decimal"/>
      <w:lvlText w:val="（%1）"/>
      <w:lvlJc w:val="left"/>
      <w:pPr>
        <w:ind w:left="1440" w:hanging="48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4A281AF3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8">
    <w:nsid w:val="4E0D1371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9">
    <w:nsid w:val="53CF704A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0">
    <w:nsid w:val="572A2C59"/>
    <w:multiLevelType w:val="hybridMultilevel"/>
    <w:tmpl w:val="F5FED5F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21">
    <w:nsid w:val="59BE063D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2">
    <w:nsid w:val="5D344C7C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3">
    <w:nsid w:val="5DCE7DA6"/>
    <w:multiLevelType w:val="hybridMultilevel"/>
    <w:tmpl w:val="A216C40C"/>
    <w:lvl w:ilvl="0" w:tplc="8862BB1E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631256"/>
    <w:multiLevelType w:val="hybridMultilevel"/>
    <w:tmpl w:val="ED30F760"/>
    <w:lvl w:ilvl="0" w:tplc="9E92D42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3062576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823" w:hanging="480"/>
      </w:pPr>
    </w:lvl>
    <w:lvl w:ilvl="2" w:tplc="0409001B" w:tentative="1">
      <w:start w:val="1"/>
      <w:numFmt w:val="lowerRoman"/>
      <w:lvlText w:val="%3."/>
      <w:lvlJc w:val="right"/>
      <w:pPr>
        <w:ind w:left="3303" w:hanging="480"/>
      </w:pPr>
    </w:lvl>
    <w:lvl w:ilvl="3" w:tplc="0409000F" w:tentative="1">
      <w:start w:val="1"/>
      <w:numFmt w:val="decimal"/>
      <w:lvlText w:val="%4."/>
      <w:lvlJc w:val="left"/>
      <w:pPr>
        <w:ind w:left="37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63" w:hanging="480"/>
      </w:pPr>
    </w:lvl>
    <w:lvl w:ilvl="5" w:tplc="0409001B" w:tentative="1">
      <w:start w:val="1"/>
      <w:numFmt w:val="lowerRoman"/>
      <w:lvlText w:val="%6."/>
      <w:lvlJc w:val="right"/>
      <w:pPr>
        <w:ind w:left="4743" w:hanging="480"/>
      </w:pPr>
    </w:lvl>
    <w:lvl w:ilvl="6" w:tplc="0409000F" w:tentative="1">
      <w:start w:val="1"/>
      <w:numFmt w:val="decimal"/>
      <w:lvlText w:val="%7."/>
      <w:lvlJc w:val="left"/>
      <w:pPr>
        <w:ind w:left="52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03" w:hanging="480"/>
      </w:pPr>
    </w:lvl>
    <w:lvl w:ilvl="8" w:tplc="0409001B" w:tentative="1">
      <w:start w:val="1"/>
      <w:numFmt w:val="lowerRoman"/>
      <w:lvlText w:val="%9."/>
      <w:lvlJc w:val="right"/>
      <w:pPr>
        <w:ind w:left="6183" w:hanging="480"/>
      </w:pPr>
    </w:lvl>
  </w:abstractNum>
  <w:abstractNum w:abstractNumId="26">
    <w:nsid w:val="666B5DA2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7">
    <w:nsid w:val="69F0611E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6CAD73CB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29">
    <w:nsid w:val="6CCC2C0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0">
    <w:nsid w:val="760561E3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1">
    <w:nsid w:val="7A5D169E"/>
    <w:multiLevelType w:val="hybridMultilevel"/>
    <w:tmpl w:val="A4BAE57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32">
    <w:nsid w:val="7AD47705"/>
    <w:multiLevelType w:val="hybridMultilevel"/>
    <w:tmpl w:val="B8C011F0"/>
    <w:lvl w:ilvl="0" w:tplc="7B6C580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CE36864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13"/>
  </w:num>
  <w:num w:numId="5">
    <w:abstractNumId w:val="5"/>
  </w:num>
  <w:num w:numId="6">
    <w:abstractNumId w:val="20"/>
  </w:num>
  <w:num w:numId="7">
    <w:abstractNumId w:val="31"/>
  </w:num>
  <w:num w:numId="8">
    <w:abstractNumId w:val="16"/>
  </w:num>
  <w:num w:numId="9">
    <w:abstractNumId w:val="7"/>
  </w:num>
  <w:num w:numId="10">
    <w:abstractNumId w:val="33"/>
  </w:num>
  <w:num w:numId="11">
    <w:abstractNumId w:val="10"/>
  </w:num>
  <w:num w:numId="12">
    <w:abstractNumId w:val="17"/>
  </w:num>
  <w:num w:numId="13">
    <w:abstractNumId w:val="28"/>
  </w:num>
  <w:num w:numId="14">
    <w:abstractNumId w:val="0"/>
  </w:num>
  <w:num w:numId="15">
    <w:abstractNumId w:val="22"/>
  </w:num>
  <w:num w:numId="16">
    <w:abstractNumId w:val="21"/>
  </w:num>
  <w:num w:numId="17">
    <w:abstractNumId w:val="9"/>
  </w:num>
  <w:num w:numId="18">
    <w:abstractNumId w:val="30"/>
  </w:num>
  <w:num w:numId="19">
    <w:abstractNumId w:val="29"/>
  </w:num>
  <w:num w:numId="20">
    <w:abstractNumId w:val="3"/>
  </w:num>
  <w:num w:numId="21">
    <w:abstractNumId w:val="19"/>
  </w:num>
  <w:num w:numId="22">
    <w:abstractNumId w:val="4"/>
  </w:num>
  <w:num w:numId="23">
    <w:abstractNumId w:val="26"/>
  </w:num>
  <w:num w:numId="24">
    <w:abstractNumId w:val="2"/>
  </w:num>
  <w:num w:numId="25">
    <w:abstractNumId w:val="27"/>
  </w:num>
  <w:num w:numId="26">
    <w:abstractNumId w:val="25"/>
  </w:num>
  <w:num w:numId="27">
    <w:abstractNumId w:val="32"/>
  </w:num>
  <w:num w:numId="28">
    <w:abstractNumId w:val="14"/>
  </w:num>
  <w:num w:numId="29">
    <w:abstractNumId w:val="23"/>
  </w:num>
  <w:num w:numId="30">
    <w:abstractNumId w:val="18"/>
  </w:num>
  <w:num w:numId="31">
    <w:abstractNumId w:val="1"/>
  </w:num>
  <w:num w:numId="32">
    <w:abstractNumId w:val="12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3"/>
    <w:rsid w:val="0000789C"/>
    <w:rsid w:val="000122D7"/>
    <w:rsid w:val="000138FD"/>
    <w:rsid w:val="000149CC"/>
    <w:rsid w:val="00014AE4"/>
    <w:rsid w:val="000159C4"/>
    <w:rsid w:val="00024D24"/>
    <w:rsid w:val="000273E4"/>
    <w:rsid w:val="000309DC"/>
    <w:rsid w:val="0003337F"/>
    <w:rsid w:val="00034010"/>
    <w:rsid w:val="00042510"/>
    <w:rsid w:val="00042F7B"/>
    <w:rsid w:val="00044587"/>
    <w:rsid w:val="00050A3E"/>
    <w:rsid w:val="00054A21"/>
    <w:rsid w:val="00054B66"/>
    <w:rsid w:val="000575B3"/>
    <w:rsid w:val="000652C1"/>
    <w:rsid w:val="0008247C"/>
    <w:rsid w:val="000845CA"/>
    <w:rsid w:val="00090FDD"/>
    <w:rsid w:val="00093043"/>
    <w:rsid w:val="000979EF"/>
    <w:rsid w:val="00097D13"/>
    <w:rsid w:val="000A1EB3"/>
    <w:rsid w:val="000A2E04"/>
    <w:rsid w:val="000A7EDB"/>
    <w:rsid w:val="000B0A1C"/>
    <w:rsid w:val="000B0B2C"/>
    <w:rsid w:val="000B4047"/>
    <w:rsid w:val="000B7BEE"/>
    <w:rsid w:val="000C2A95"/>
    <w:rsid w:val="000D009A"/>
    <w:rsid w:val="000D432D"/>
    <w:rsid w:val="000F0BDC"/>
    <w:rsid w:val="000F1EBB"/>
    <w:rsid w:val="000F56D6"/>
    <w:rsid w:val="00107A58"/>
    <w:rsid w:val="00107AFC"/>
    <w:rsid w:val="001136F0"/>
    <w:rsid w:val="0011552F"/>
    <w:rsid w:val="001249E1"/>
    <w:rsid w:val="00127D1F"/>
    <w:rsid w:val="001357FA"/>
    <w:rsid w:val="0013685D"/>
    <w:rsid w:val="001422E3"/>
    <w:rsid w:val="001446B0"/>
    <w:rsid w:val="0014548C"/>
    <w:rsid w:val="0014578B"/>
    <w:rsid w:val="00156BFD"/>
    <w:rsid w:val="00160DC1"/>
    <w:rsid w:val="00167289"/>
    <w:rsid w:val="00170261"/>
    <w:rsid w:val="00171251"/>
    <w:rsid w:val="001730BE"/>
    <w:rsid w:val="00175A80"/>
    <w:rsid w:val="00182256"/>
    <w:rsid w:val="0018666C"/>
    <w:rsid w:val="0019484E"/>
    <w:rsid w:val="00197D56"/>
    <w:rsid w:val="001A10A1"/>
    <w:rsid w:val="001A26C2"/>
    <w:rsid w:val="001A5569"/>
    <w:rsid w:val="001B05E7"/>
    <w:rsid w:val="001B31E3"/>
    <w:rsid w:val="001D5B58"/>
    <w:rsid w:val="001D6418"/>
    <w:rsid w:val="001E1E9B"/>
    <w:rsid w:val="001E3B9A"/>
    <w:rsid w:val="001E488B"/>
    <w:rsid w:val="001E6FB0"/>
    <w:rsid w:val="001F4890"/>
    <w:rsid w:val="001F582B"/>
    <w:rsid w:val="001F657E"/>
    <w:rsid w:val="00202480"/>
    <w:rsid w:val="00206109"/>
    <w:rsid w:val="002137F0"/>
    <w:rsid w:val="0022400D"/>
    <w:rsid w:val="00224A8A"/>
    <w:rsid w:val="002250A5"/>
    <w:rsid w:val="00225A63"/>
    <w:rsid w:val="0023075D"/>
    <w:rsid w:val="00235649"/>
    <w:rsid w:val="00242D8F"/>
    <w:rsid w:val="00245509"/>
    <w:rsid w:val="00247F11"/>
    <w:rsid w:val="00250DA5"/>
    <w:rsid w:val="00252AE7"/>
    <w:rsid w:val="002629E6"/>
    <w:rsid w:val="002641AF"/>
    <w:rsid w:val="00272B08"/>
    <w:rsid w:val="00281CBA"/>
    <w:rsid w:val="00283E54"/>
    <w:rsid w:val="00296385"/>
    <w:rsid w:val="002A1155"/>
    <w:rsid w:val="002A535B"/>
    <w:rsid w:val="002A7802"/>
    <w:rsid w:val="002B1757"/>
    <w:rsid w:val="002C133B"/>
    <w:rsid w:val="002C1C10"/>
    <w:rsid w:val="002C4F83"/>
    <w:rsid w:val="002C5F35"/>
    <w:rsid w:val="002D7E2A"/>
    <w:rsid w:val="002E18CF"/>
    <w:rsid w:val="002E35E0"/>
    <w:rsid w:val="002E548C"/>
    <w:rsid w:val="002E66FB"/>
    <w:rsid w:val="002F4B6A"/>
    <w:rsid w:val="00316DD2"/>
    <w:rsid w:val="00323445"/>
    <w:rsid w:val="00325FEC"/>
    <w:rsid w:val="003273E4"/>
    <w:rsid w:val="00336615"/>
    <w:rsid w:val="0034015E"/>
    <w:rsid w:val="003614BB"/>
    <w:rsid w:val="00361E07"/>
    <w:rsid w:val="0036249C"/>
    <w:rsid w:val="00364A90"/>
    <w:rsid w:val="003743A0"/>
    <w:rsid w:val="0037741F"/>
    <w:rsid w:val="00381F4C"/>
    <w:rsid w:val="00382A0B"/>
    <w:rsid w:val="00384FD3"/>
    <w:rsid w:val="0039396D"/>
    <w:rsid w:val="003946DE"/>
    <w:rsid w:val="003A00EB"/>
    <w:rsid w:val="003A422B"/>
    <w:rsid w:val="003A547B"/>
    <w:rsid w:val="003C128D"/>
    <w:rsid w:val="003C31C6"/>
    <w:rsid w:val="003D243E"/>
    <w:rsid w:val="003D74CF"/>
    <w:rsid w:val="003F547A"/>
    <w:rsid w:val="004039BB"/>
    <w:rsid w:val="00411A80"/>
    <w:rsid w:val="0041277D"/>
    <w:rsid w:val="00412F4E"/>
    <w:rsid w:val="004134C4"/>
    <w:rsid w:val="00422D4C"/>
    <w:rsid w:val="00427AB6"/>
    <w:rsid w:val="00442BCE"/>
    <w:rsid w:val="00446798"/>
    <w:rsid w:val="0045243E"/>
    <w:rsid w:val="00454A94"/>
    <w:rsid w:val="0047211B"/>
    <w:rsid w:val="0047549B"/>
    <w:rsid w:val="00493B4E"/>
    <w:rsid w:val="00496A79"/>
    <w:rsid w:val="004A0048"/>
    <w:rsid w:val="004A13C1"/>
    <w:rsid w:val="004A7A24"/>
    <w:rsid w:val="004C3907"/>
    <w:rsid w:val="004C6E65"/>
    <w:rsid w:val="004D0700"/>
    <w:rsid w:val="004D4109"/>
    <w:rsid w:val="004F11A0"/>
    <w:rsid w:val="004F1570"/>
    <w:rsid w:val="005161A3"/>
    <w:rsid w:val="005163E5"/>
    <w:rsid w:val="0052036F"/>
    <w:rsid w:val="00526C90"/>
    <w:rsid w:val="005423D2"/>
    <w:rsid w:val="00562F6C"/>
    <w:rsid w:val="00567425"/>
    <w:rsid w:val="00570E74"/>
    <w:rsid w:val="005771B2"/>
    <w:rsid w:val="00577C96"/>
    <w:rsid w:val="0058160D"/>
    <w:rsid w:val="00594415"/>
    <w:rsid w:val="0059623D"/>
    <w:rsid w:val="005A3DB5"/>
    <w:rsid w:val="005A7A55"/>
    <w:rsid w:val="005B2C74"/>
    <w:rsid w:val="005B359F"/>
    <w:rsid w:val="005B5333"/>
    <w:rsid w:val="005B595C"/>
    <w:rsid w:val="005B75B2"/>
    <w:rsid w:val="005B7895"/>
    <w:rsid w:val="005C0239"/>
    <w:rsid w:val="005E07F7"/>
    <w:rsid w:val="005E3E2B"/>
    <w:rsid w:val="005E57FE"/>
    <w:rsid w:val="005F4D03"/>
    <w:rsid w:val="005F7498"/>
    <w:rsid w:val="00604EE8"/>
    <w:rsid w:val="00606E23"/>
    <w:rsid w:val="00606EDB"/>
    <w:rsid w:val="0060762B"/>
    <w:rsid w:val="006077D4"/>
    <w:rsid w:val="00611E8D"/>
    <w:rsid w:val="00623953"/>
    <w:rsid w:val="006276D7"/>
    <w:rsid w:val="0063593F"/>
    <w:rsid w:val="00643551"/>
    <w:rsid w:val="00643FC6"/>
    <w:rsid w:val="00650586"/>
    <w:rsid w:val="00662055"/>
    <w:rsid w:val="0067159B"/>
    <w:rsid w:val="00676052"/>
    <w:rsid w:val="00681796"/>
    <w:rsid w:val="0068426E"/>
    <w:rsid w:val="00686525"/>
    <w:rsid w:val="00687643"/>
    <w:rsid w:val="00695632"/>
    <w:rsid w:val="006A69F6"/>
    <w:rsid w:val="006C79DB"/>
    <w:rsid w:val="006E2FF3"/>
    <w:rsid w:val="006F2AD2"/>
    <w:rsid w:val="006F63D5"/>
    <w:rsid w:val="006F7E41"/>
    <w:rsid w:val="007076A7"/>
    <w:rsid w:val="00710E02"/>
    <w:rsid w:val="00714E59"/>
    <w:rsid w:val="0073124B"/>
    <w:rsid w:val="00747A55"/>
    <w:rsid w:val="007625A8"/>
    <w:rsid w:val="007651CE"/>
    <w:rsid w:val="00772DE8"/>
    <w:rsid w:val="0077411A"/>
    <w:rsid w:val="007753B7"/>
    <w:rsid w:val="007A0145"/>
    <w:rsid w:val="007A72A4"/>
    <w:rsid w:val="007A7AB2"/>
    <w:rsid w:val="007B5D34"/>
    <w:rsid w:val="007B6F2C"/>
    <w:rsid w:val="007C36D7"/>
    <w:rsid w:val="007D3F80"/>
    <w:rsid w:val="007E5516"/>
    <w:rsid w:val="007F2017"/>
    <w:rsid w:val="00803087"/>
    <w:rsid w:val="008307BB"/>
    <w:rsid w:val="00834815"/>
    <w:rsid w:val="00837C2B"/>
    <w:rsid w:val="00841594"/>
    <w:rsid w:val="0084305C"/>
    <w:rsid w:val="00852660"/>
    <w:rsid w:val="008543DD"/>
    <w:rsid w:val="00862ABB"/>
    <w:rsid w:val="008631EB"/>
    <w:rsid w:val="00865E3B"/>
    <w:rsid w:val="00866C0F"/>
    <w:rsid w:val="00873C4B"/>
    <w:rsid w:val="00874B5C"/>
    <w:rsid w:val="00876F65"/>
    <w:rsid w:val="00883E37"/>
    <w:rsid w:val="008850CA"/>
    <w:rsid w:val="00885F2C"/>
    <w:rsid w:val="00890BD7"/>
    <w:rsid w:val="008952A6"/>
    <w:rsid w:val="00896EFD"/>
    <w:rsid w:val="008B774F"/>
    <w:rsid w:val="008C1022"/>
    <w:rsid w:val="008C15BD"/>
    <w:rsid w:val="008C4C45"/>
    <w:rsid w:val="008C4C95"/>
    <w:rsid w:val="008C5EBA"/>
    <w:rsid w:val="008C6EC3"/>
    <w:rsid w:val="008D64BE"/>
    <w:rsid w:val="008D67A2"/>
    <w:rsid w:val="008F13B8"/>
    <w:rsid w:val="008F1A4C"/>
    <w:rsid w:val="008F535E"/>
    <w:rsid w:val="008F65EC"/>
    <w:rsid w:val="008F670F"/>
    <w:rsid w:val="009209A1"/>
    <w:rsid w:val="0092649B"/>
    <w:rsid w:val="009358E8"/>
    <w:rsid w:val="009515CF"/>
    <w:rsid w:val="00966529"/>
    <w:rsid w:val="009665CE"/>
    <w:rsid w:val="0097762B"/>
    <w:rsid w:val="00983609"/>
    <w:rsid w:val="009836B8"/>
    <w:rsid w:val="00984326"/>
    <w:rsid w:val="00990E79"/>
    <w:rsid w:val="0099204E"/>
    <w:rsid w:val="009956BB"/>
    <w:rsid w:val="0099712A"/>
    <w:rsid w:val="00997A04"/>
    <w:rsid w:val="00997F07"/>
    <w:rsid w:val="009A0A2F"/>
    <w:rsid w:val="009A49C3"/>
    <w:rsid w:val="009A687C"/>
    <w:rsid w:val="009B09FB"/>
    <w:rsid w:val="009B7ADF"/>
    <w:rsid w:val="009C0B11"/>
    <w:rsid w:val="009C1837"/>
    <w:rsid w:val="009E43C6"/>
    <w:rsid w:val="009F1EE1"/>
    <w:rsid w:val="009F5F1F"/>
    <w:rsid w:val="009F6278"/>
    <w:rsid w:val="00A038C7"/>
    <w:rsid w:val="00A110CE"/>
    <w:rsid w:val="00A11EAF"/>
    <w:rsid w:val="00A255F3"/>
    <w:rsid w:val="00A452E1"/>
    <w:rsid w:val="00A67431"/>
    <w:rsid w:val="00A72404"/>
    <w:rsid w:val="00A76407"/>
    <w:rsid w:val="00A84B38"/>
    <w:rsid w:val="00A867A0"/>
    <w:rsid w:val="00A90C9D"/>
    <w:rsid w:val="00A9190A"/>
    <w:rsid w:val="00A92003"/>
    <w:rsid w:val="00AB1281"/>
    <w:rsid w:val="00AB3854"/>
    <w:rsid w:val="00AB5367"/>
    <w:rsid w:val="00AC0022"/>
    <w:rsid w:val="00AC345B"/>
    <w:rsid w:val="00AC34E3"/>
    <w:rsid w:val="00AC3AE6"/>
    <w:rsid w:val="00AC3EF3"/>
    <w:rsid w:val="00AD2C96"/>
    <w:rsid w:val="00AD2CF3"/>
    <w:rsid w:val="00AD7975"/>
    <w:rsid w:val="00AE201F"/>
    <w:rsid w:val="00AE34CD"/>
    <w:rsid w:val="00AE3CFE"/>
    <w:rsid w:val="00AF273A"/>
    <w:rsid w:val="00B01D58"/>
    <w:rsid w:val="00B02585"/>
    <w:rsid w:val="00B03EF2"/>
    <w:rsid w:val="00B10357"/>
    <w:rsid w:val="00B14DD6"/>
    <w:rsid w:val="00B2279B"/>
    <w:rsid w:val="00B335C3"/>
    <w:rsid w:val="00B354CF"/>
    <w:rsid w:val="00B35C1B"/>
    <w:rsid w:val="00B36841"/>
    <w:rsid w:val="00B36A19"/>
    <w:rsid w:val="00B46901"/>
    <w:rsid w:val="00B500ED"/>
    <w:rsid w:val="00B5663F"/>
    <w:rsid w:val="00B61F62"/>
    <w:rsid w:val="00B65444"/>
    <w:rsid w:val="00B86448"/>
    <w:rsid w:val="00B9327B"/>
    <w:rsid w:val="00BA0A3D"/>
    <w:rsid w:val="00BD4468"/>
    <w:rsid w:val="00BE154C"/>
    <w:rsid w:val="00BE1890"/>
    <w:rsid w:val="00BE23CA"/>
    <w:rsid w:val="00BF0440"/>
    <w:rsid w:val="00C04349"/>
    <w:rsid w:val="00C11709"/>
    <w:rsid w:val="00C205C6"/>
    <w:rsid w:val="00C226C7"/>
    <w:rsid w:val="00C32C88"/>
    <w:rsid w:val="00C34C4E"/>
    <w:rsid w:val="00C368AA"/>
    <w:rsid w:val="00C51551"/>
    <w:rsid w:val="00C64761"/>
    <w:rsid w:val="00C71EC8"/>
    <w:rsid w:val="00C7581A"/>
    <w:rsid w:val="00C8447C"/>
    <w:rsid w:val="00C85AFB"/>
    <w:rsid w:val="00C96B38"/>
    <w:rsid w:val="00CA10C8"/>
    <w:rsid w:val="00CB3E6C"/>
    <w:rsid w:val="00CB63AB"/>
    <w:rsid w:val="00CC1FFD"/>
    <w:rsid w:val="00CC378F"/>
    <w:rsid w:val="00CC55C4"/>
    <w:rsid w:val="00CD1AD8"/>
    <w:rsid w:val="00CD28C5"/>
    <w:rsid w:val="00CD5761"/>
    <w:rsid w:val="00CE1CCF"/>
    <w:rsid w:val="00CE2C01"/>
    <w:rsid w:val="00CE2E0C"/>
    <w:rsid w:val="00CF1B5C"/>
    <w:rsid w:val="00CF53D2"/>
    <w:rsid w:val="00D05067"/>
    <w:rsid w:val="00D22C04"/>
    <w:rsid w:val="00D2601E"/>
    <w:rsid w:val="00D268C0"/>
    <w:rsid w:val="00D27338"/>
    <w:rsid w:val="00D31DAF"/>
    <w:rsid w:val="00D350BE"/>
    <w:rsid w:val="00D35F37"/>
    <w:rsid w:val="00D36E9E"/>
    <w:rsid w:val="00D416A8"/>
    <w:rsid w:val="00D57F0B"/>
    <w:rsid w:val="00D632B0"/>
    <w:rsid w:val="00D71A85"/>
    <w:rsid w:val="00D76A51"/>
    <w:rsid w:val="00D77E6E"/>
    <w:rsid w:val="00D80625"/>
    <w:rsid w:val="00D95EDF"/>
    <w:rsid w:val="00DA4FB9"/>
    <w:rsid w:val="00DA577A"/>
    <w:rsid w:val="00DC53F1"/>
    <w:rsid w:val="00DD027A"/>
    <w:rsid w:val="00DD151C"/>
    <w:rsid w:val="00DE5E56"/>
    <w:rsid w:val="00DF1760"/>
    <w:rsid w:val="00E0389F"/>
    <w:rsid w:val="00E260F7"/>
    <w:rsid w:val="00E33224"/>
    <w:rsid w:val="00E44868"/>
    <w:rsid w:val="00E55071"/>
    <w:rsid w:val="00E672E0"/>
    <w:rsid w:val="00E8161C"/>
    <w:rsid w:val="00E83A43"/>
    <w:rsid w:val="00E83BF1"/>
    <w:rsid w:val="00E91F5B"/>
    <w:rsid w:val="00E95AD7"/>
    <w:rsid w:val="00EB32A8"/>
    <w:rsid w:val="00EB3608"/>
    <w:rsid w:val="00EC12B6"/>
    <w:rsid w:val="00ED7B78"/>
    <w:rsid w:val="00EE4E3B"/>
    <w:rsid w:val="00EF242E"/>
    <w:rsid w:val="00EF3CD2"/>
    <w:rsid w:val="00F059E7"/>
    <w:rsid w:val="00F13AAB"/>
    <w:rsid w:val="00F31B5D"/>
    <w:rsid w:val="00F31D2F"/>
    <w:rsid w:val="00F32A73"/>
    <w:rsid w:val="00F47201"/>
    <w:rsid w:val="00F76008"/>
    <w:rsid w:val="00F80923"/>
    <w:rsid w:val="00F83D4A"/>
    <w:rsid w:val="00FB25D5"/>
    <w:rsid w:val="00FB2D82"/>
    <w:rsid w:val="00FB3AAF"/>
    <w:rsid w:val="00FC0A1A"/>
    <w:rsid w:val="00FC4B06"/>
    <w:rsid w:val="00FC6413"/>
    <w:rsid w:val="00FE1DA4"/>
    <w:rsid w:val="00FE577F"/>
    <w:rsid w:val="00FE5FCB"/>
    <w:rsid w:val="00FE6D86"/>
    <w:rsid w:val="00FF2A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32EE2-2FE5-4C67-9C55-52E15C4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7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10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F582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uiPriority w:val="99"/>
    <w:rsid w:val="00F32A73"/>
    <w:rPr>
      <w:rFonts w:cs="Times New Roman"/>
    </w:rPr>
  </w:style>
  <w:style w:type="character" w:styleId="a6">
    <w:name w:val="Hyperlink"/>
    <w:uiPriority w:val="99"/>
    <w:rsid w:val="00F32A73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F32A7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F582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110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FollowedHyperlink"/>
    <w:basedOn w:val="a0"/>
    <w:uiPriority w:val="99"/>
    <w:semiHidden/>
    <w:unhideWhenUsed/>
    <w:rsid w:val="00050A3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3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www.cdc.gov.tw/Professional/ProgramResultInfo/LeYn5b0UwF_lgvjR5rhT-A?programResultId=FCuaVqrQkQcMjdoP9JEw9w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health.tainan.gov.tw/dengue/page.asp?mainid=%7B3CDBBF11-6045-4F65-891B-8AEC859E2AAE%7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mbdcrc.nhri.org.tw/research-topic/achievements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dc.gov.tw/Category/ListContent/0BhRQWTf3QSkAys2TE_qQg?uaid=BGrMYW2LrvhzFjT5xxgrPw" TargetMode="External"/><Relationship Id="rId20" Type="http://schemas.openxmlformats.org/officeDocument/2006/relationships/hyperlink" Target="https://www.tainan.gov.tw/News_Content.aspx?n=13371&amp;s=770274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na.com.tw/news/firstnews/201511045012.asp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wsf.ntsec.gov.tw/activity/race-1/61/pdf/NPHSF2021-0520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23494;&#24230;&#25351;&#25976;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35480;&#21365;&#26742;&#25351;&#25976;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布氏指數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23265844512669273"/>
          <c:y val="0.16947340283346699"/>
          <c:w val="0.72344982114982515"/>
          <c:h val="0.588030064806454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merge!$X$4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merge!$W$5:$W$15</c:f>
              <c:strCache>
                <c:ptCount val="11"/>
                <c:pt idx="0">
                  <c:v>&lt;7.5</c:v>
                </c:pt>
                <c:pt idx="1">
                  <c:v>7.5-15</c:v>
                </c:pt>
                <c:pt idx="2">
                  <c:v>15-22.5</c:v>
                </c:pt>
                <c:pt idx="3">
                  <c:v>22.5-30</c:v>
                </c:pt>
                <c:pt idx="4">
                  <c:v>30-37.5</c:v>
                </c:pt>
                <c:pt idx="5">
                  <c:v>37.5-45</c:v>
                </c:pt>
                <c:pt idx="6">
                  <c:v>45-52.5</c:v>
                </c:pt>
                <c:pt idx="7">
                  <c:v>52.5-60</c:v>
                </c:pt>
                <c:pt idx="8">
                  <c:v>60-67.5</c:v>
                </c:pt>
                <c:pt idx="9">
                  <c:v>67.5-70</c:v>
                </c:pt>
                <c:pt idx="10">
                  <c:v>70-75</c:v>
                </c:pt>
              </c:strCache>
            </c:strRef>
          </c:cat>
          <c:val>
            <c:numRef>
              <c:f>merge!$X$5:$X$15</c:f>
              <c:numCache>
                <c:formatCode>General</c:formatCode>
                <c:ptCount val="11"/>
                <c:pt idx="0">
                  <c:v>19066</c:v>
                </c:pt>
                <c:pt idx="1">
                  <c:v>222</c:v>
                </c:pt>
                <c:pt idx="2">
                  <c:v>15</c:v>
                </c:pt>
                <c:pt idx="3">
                  <c:v>7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3198552"/>
        <c:axId val="73197768"/>
      </c:barChart>
      <c:catAx>
        <c:axId val="73198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layout>
            <c:manualLayout>
              <c:xMode val="edge"/>
              <c:yMode val="edge"/>
              <c:x val="0.47148630927352075"/>
              <c:y val="0.90376904570970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197768"/>
        <c:crosses val="autoZero"/>
        <c:auto val="1"/>
        <c:lblAlgn val="ctr"/>
        <c:lblOffset val="100"/>
        <c:noMultiLvlLbl val="0"/>
      </c:catAx>
      <c:valAx>
        <c:axId val="73197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layout>
            <c:manualLayout>
              <c:xMode val="edge"/>
              <c:yMode val="edge"/>
              <c:x val="2.4384296513045599E-2"/>
              <c:y val="0.405749862662516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198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誘卵桶陽性率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7459039868481249"/>
          <c:y val="0.15166666666666667"/>
          <c:w val="0.80786732078896373"/>
          <c:h val="0.597511297455099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'&lt;60'!$I$3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'&lt;60'!$H$4:$H$13</c:f>
              <c:strCache>
                <c:ptCount val="10"/>
                <c:pt idx="0">
                  <c:v>&lt;0.06</c:v>
                </c:pt>
                <c:pt idx="1">
                  <c:v>0.06-0.12</c:v>
                </c:pt>
                <c:pt idx="2">
                  <c:v>0.12-0.18</c:v>
                </c:pt>
                <c:pt idx="3">
                  <c:v>0.18-0.24</c:v>
                </c:pt>
                <c:pt idx="4">
                  <c:v>0.24-0.3</c:v>
                </c:pt>
                <c:pt idx="5">
                  <c:v>0.3-0.36</c:v>
                </c:pt>
                <c:pt idx="6">
                  <c:v>0.36-0.42</c:v>
                </c:pt>
                <c:pt idx="7">
                  <c:v>0.42-0.48</c:v>
                </c:pt>
                <c:pt idx="8">
                  <c:v>0.48-0.54</c:v>
                </c:pt>
                <c:pt idx="9">
                  <c:v>0.54-0.6</c:v>
                </c:pt>
              </c:strCache>
            </c:strRef>
          </c:cat>
          <c:val>
            <c:numRef>
              <c:f>'&lt;60'!$I$4:$I$13</c:f>
              <c:numCache>
                <c:formatCode>General</c:formatCode>
                <c:ptCount val="10"/>
                <c:pt idx="0">
                  <c:v>67</c:v>
                </c:pt>
                <c:pt idx="1">
                  <c:v>126</c:v>
                </c:pt>
                <c:pt idx="2">
                  <c:v>146</c:v>
                </c:pt>
                <c:pt idx="3">
                  <c:v>138</c:v>
                </c:pt>
                <c:pt idx="4">
                  <c:v>128</c:v>
                </c:pt>
                <c:pt idx="5">
                  <c:v>142</c:v>
                </c:pt>
                <c:pt idx="6">
                  <c:v>122</c:v>
                </c:pt>
                <c:pt idx="7">
                  <c:v>77</c:v>
                </c:pt>
                <c:pt idx="8">
                  <c:v>45</c:v>
                </c:pt>
                <c:pt idx="9">
                  <c:v>43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3188728"/>
        <c:axId val="73189120"/>
      </c:barChart>
      <c:catAx>
        <c:axId val="73188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189120"/>
        <c:crosses val="autoZero"/>
        <c:auto val="1"/>
        <c:lblAlgn val="ctr"/>
        <c:lblOffset val="100"/>
        <c:noMultiLvlLbl val="0"/>
      </c:catAx>
      <c:valAx>
        <c:axId val="7318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188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C7E3-83C9-45B4-A93F-EBF0C50E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1334</Words>
  <Characters>7608</Characters>
  <Application>Microsoft Office Word</Application>
  <DocSecurity>0</DocSecurity>
  <Lines>63</Lines>
  <Paragraphs>17</Paragraphs>
  <ScaleCrop>false</ScaleCrop>
  <Company>Innolux Corp.</Company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 陳鴻泰</dc:creator>
  <cp:lastModifiedBy>hungtai.chen 陳鴻泰</cp:lastModifiedBy>
  <cp:revision>9</cp:revision>
  <cp:lastPrinted>2023-03-09T06:28:00Z</cp:lastPrinted>
  <dcterms:created xsi:type="dcterms:W3CDTF">2023-03-09T06:27:00Z</dcterms:created>
  <dcterms:modified xsi:type="dcterms:W3CDTF">2023-03-09T07:13:00Z</dcterms:modified>
</cp:coreProperties>
</file>