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32"/>
          <w:szCs w:val="32"/>
        </w:rPr>
        <w:t xml:space="preserve">Hướng dẫn chạy và so sánh các phương pháp phân loại 88 loại hạt (LZUPSD)</w:t>
      </w:r>
    </w:p>
    <w:p>
      <w:pPr>
        <w:spacing w:after="300"/>
      </w:pPr>
      <w:r>
        <w:rPr>
          <w:rFonts w:ascii="Calibri" w:cs="Calibri" w:eastAsia="Calibri" w:hAnsi="Calibri"/>
          <w:i/>
          <w:iCs/>
          <w:color w:val="555555"/>
          <w:sz w:val="22"/>
          <w:szCs w:val="22"/>
        </w:rPr>
        <w:t xml:space="preserve">Dự án: seed-classification — chạy trên server Ubuntu, GPU NVIDIA RTX PRO 5000 Blackwell</w:t>
      </w:r>
    </w:p>
    <w:p>
      <w:pPr>
        <w:pStyle w:val="Heading1"/>
        <w:spacing w:after="150" w:before="300"/>
      </w:pPr>
      <w:r>
        <w:t xml:space="preserve">1. Mục tiêu</w:t>
      </w:r>
    </w:p>
    <w:p>
      <w:pPr>
        <w:spacing w:after="120"/>
      </w:pPr>
      <w:r>
        <w:rPr>
          <w:rFonts w:ascii="Calibri" w:cs="Calibri" w:eastAsia="Calibri" w:hAnsi="Calibri"/>
          <w:sz w:val="22"/>
          <w:szCs w:val="22"/>
        </w:rPr>
        <w:t xml:space="preserve">Dự án tái hiện 3 nhóm phương pháp phân loại ảnh hạt giống (88 lớp, 4.496 ảnh) theo báo cáo gốc: giảm chiều dữ liệu cổ điển, đặc trưng thủ công kết hợp máy học truyền thống, và học sâu (transfer learning). Mục tiêu tài liệu này là hướng dẫn chạy đầy đủ từng nhóm và tổng hợp bảng so sánh kết quả cuối cùng.</w:t>
      </w:r>
    </w:p>
    <w:p>
      <w:pPr>
        <w:pStyle w:val="Heading1"/>
        <w:spacing w:after="150" w:before="300"/>
      </w:pPr>
      <w:r>
        <w:t xml:space="preserve">2. Ba nhóm phương pháp cần chạy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800"/>
      </w:tblGrid>
      <w:tr>
        <w:tc>
          <w:tcPr>
            <w:tcW w:type="dxa" w:w="2200"/>
            <w:shd w:fill="D9E2F3" w:val="clear"/>
          </w:tcPr>
          <w:p>
            <w:pPr>
              <w:jc w:val="left"/>
            </w:pPr>
            <w:r>
              <w:rPr>
                <w:rFonts w:ascii="Calibri" w:cs="Calibri" w:eastAsia="Calibri" w:hAnsi="Calibri"/>
                <w:b/>
                <w:bCs/>
                <w:sz w:val="20"/>
                <w:szCs w:val="20"/>
              </w:rPr>
              <w:t xml:space="preserve">Nhóm phương pháp</w:t>
            </w:r>
          </w:p>
        </w:tc>
        <w:tc>
          <w:tcPr>
            <w:tcW w:type="dxa" w:w="2600"/>
            <w:shd w:fill="D9E2F3" w:val="clear"/>
          </w:tcPr>
          <w:p>
            <w:pPr>
              <w:jc w:val="left"/>
            </w:pPr>
            <w:r>
              <w:rPr>
                <w:rFonts w:ascii="Calibri" w:cs="Calibri" w:eastAsia="Calibri" w:hAnsi="Calibri"/>
                <w:b/>
                <w:bCs/>
                <w:sz w:val="20"/>
                <w:szCs w:val="20"/>
              </w:rPr>
              <w:t xml:space="preserve">Ý tưởng</w:t>
            </w:r>
          </w:p>
        </w:tc>
        <w:tc>
          <w:tcPr>
            <w:tcW w:type="dxa" w:w="2200"/>
            <w:shd w:fill="D9E2F3" w:val="clear"/>
          </w:tcPr>
          <w:p>
            <w:pPr>
              <w:jc w:val="left"/>
            </w:pPr>
            <w:r>
              <w:rPr>
                <w:rFonts w:ascii="Calibri" w:cs="Calibri" w:eastAsia="Calibri" w:hAnsi="Calibri"/>
                <w:b/>
                <w:bCs/>
                <w:sz w:val="20"/>
                <w:szCs w:val="20"/>
              </w:rPr>
              <w:t xml:space="preserve">File chính</w:t>
            </w:r>
          </w:p>
        </w:tc>
        <w:tc>
          <w:tcPr>
            <w:tcW w:type="dxa" w:w="2800"/>
            <w:shd w:fill="D9E2F3" w:val="clear"/>
          </w:tcPr>
          <w:p>
            <w:pPr>
              <w:jc w:val="left"/>
            </w:pPr>
            <w:r>
              <w:rPr>
                <w:rFonts w:ascii="Calibri" w:cs="Calibri" w:eastAsia="Calibri" w:hAnsi="Calibri"/>
                <w:b/>
                <w:bCs/>
                <w:sz w:val="20"/>
                <w:szCs w:val="20"/>
              </w:rPr>
              <w:t xml:space="preserve">Output để so sánh</w:t>
            </w:r>
          </w:p>
        </w:tc>
      </w:tr>
      <w:tr>
        <w:tc>
          <w:tcPr>
            <w:tcW w:type="dxa" w:w="2200"/>
          </w:tcPr>
          <w:p>
            <w:pPr>
              <w:jc w:val="left"/>
            </w:pPr>
            <w:r>
              <w:rPr>
                <w:rFonts w:ascii="Calibri" w:cs="Calibri" w:eastAsia="Calibri" w:hAnsi="Calibri"/>
                <w:b w:val="false"/>
                <w:bCs w:val="false"/>
                <w:sz w:val="20"/>
                <w:szCs w:val="20"/>
              </w:rPr>
              <w:t xml:space="preserve">1. Giảm chiều dữ liệu</w:t>
            </w:r>
          </w:p>
        </w:tc>
        <w:tc>
          <w:tcPr>
            <w:tcW w:type="dxa" w:w="2600"/>
          </w:tcPr>
          <w:p>
            <w:pPr>
              <w:jc w:val="left"/>
            </w:pPr>
            <w:r>
              <w:rPr>
                <w:rFonts w:ascii="Calibri" w:cs="Calibri" w:eastAsia="Calibri" w:hAnsi="Calibri"/>
                <w:b w:val="false"/>
                <w:bCs w:val="false"/>
                <w:sz w:val="20"/>
                <w:szCs w:val="20"/>
              </w:rPr>
              <w:t xml:space="preserve">PCA/LDA + SVM (không dùng deep learning)</w:t>
            </w:r>
          </w:p>
        </w:tc>
        <w:tc>
          <w:tcPr>
            <w:tcW w:type="dxa" w:w="2200"/>
          </w:tcPr>
          <w:p>
            <w:pPr>
              <w:jc w:val="left"/>
            </w:pPr>
            <w:r>
              <w:rPr>
                <w:rFonts w:ascii="Calibri" w:cs="Calibri" w:eastAsia="Calibri" w:hAnsi="Calibri"/>
                <w:b w:val="false"/>
                <w:bCs w:val="false"/>
                <w:sz w:val="20"/>
                <w:szCs w:val="20"/>
              </w:rPr>
              <w:t xml:space="preserve">dimensionality_reduction.py</w:t>
            </w:r>
          </w:p>
        </w:tc>
        <w:tc>
          <w:tcPr>
            <w:tcW w:type="dxa" w:w="2800"/>
          </w:tcPr>
          <w:p>
            <w:pPr>
              <w:jc w:val="left"/>
            </w:pPr>
            <w:r>
              <w:rPr>
                <w:rFonts w:ascii="Calibri" w:cs="Calibri" w:eastAsia="Calibri" w:hAnsi="Calibri"/>
                <w:b w:val="false"/>
                <w:bCs w:val="false"/>
                <w:sz w:val="20"/>
                <w:szCs w:val="20"/>
              </w:rPr>
              <w:t xml:space="preserve">outputs/dimensionality_pca/metrics.json
outputs/dimensionality_lda/metrics.json</w:t>
            </w:r>
          </w:p>
        </w:tc>
      </w:tr>
      <w:tr>
        <w:tc>
          <w:tcPr>
            <w:tcW w:type="dxa" w:w="2200"/>
          </w:tcPr>
          <w:p>
            <w:pPr>
              <w:jc w:val="left"/>
            </w:pPr>
            <w:r>
              <w:rPr>
                <w:rFonts w:ascii="Calibri" w:cs="Calibri" w:eastAsia="Calibri" w:hAnsi="Calibri"/>
                <w:b w:val="false"/>
                <w:bCs w:val="false"/>
                <w:sz w:val="20"/>
                <w:szCs w:val="20"/>
              </w:rPr>
              <w:t xml:space="preserve">2. Đặc trưng thủ công</w:t>
            </w:r>
          </w:p>
        </w:tc>
        <w:tc>
          <w:tcPr>
            <w:tcW w:type="dxa" w:w="2600"/>
          </w:tcPr>
          <w:p>
            <w:pPr>
              <w:jc w:val="left"/>
            </w:pPr>
            <w:r>
              <w:rPr>
                <w:rFonts w:ascii="Calibri" w:cs="Calibri" w:eastAsia="Calibri" w:hAnsi="Calibri"/>
                <w:b w:val="false"/>
                <w:bCs w:val="false"/>
                <w:sz w:val="20"/>
                <w:szCs w:val="20"/>
              </w:rPr>
              <w:t xml:space="preserve">HOG + thống kê màu + SVM/MLP/Decision Tree</w:t>
            </w:r>
          </w:p>
        </w:tc>
        <w:tc>
          <w:tcPr>
            <w:tcW w:type="dxa" w:w="2200"/>
          </w:tcPr>
          <w:p>
            <w:pPr>
              <w:jc w:val="left"/>
            </w:pPr>
            <w:r>
              <w:rPr>
                <w:rFonts w:ascii="Calibri" w:cs="Calibri" w:eastAsia="Calibri" w:hAnsi="Calibri"/>
                <w:b w:val="false"/>
                <w:bCs w:val="false"/>
                <w:sz w:val="20"/>
                <w:szCs w:val="20"/>
              </w:rPr>
              <w:t xml:space="preserve">traditional_ml.py</w:t>
            </w:r>
          </w:p>
        </w:tc>
        <w:tc>
          <w:tcPr>
            <w:tcW w:type="dxa" w:w="2800"/>
          </w:tcPr>
          <w:p>
            <w:pPr>
              <w:jc w:val="left"/>
            </w:pPr>
            <w:r>
              <w:rPr>
                <w:rFonts w:ascii="Calibri" w:cs="Calibri" w:eastAsia="Calibri" w:hAnsi="Calibri"/>
                <w:b w:val="false"/>
                <w:bCs w:val="false"/>
                <w:sz w:val="20"/>
                <w:szCs w:val="20"/>
              </w:rPr>
              <w:t xml:space="preserve">outputs/traditional_svm.json
outputs/traditional_mlp.json
outputs/traditional_decision_tree.json</w:t>
            </w:r>
          </w:p>
        </w:tc>
      </w:tr>
      <w:tr>
        <w:tc>
          <w:tcPr>
            <w:tcW w:type="dxa" w:w="2200"/>
          </w:tcPr>
          <w:p>
            <w:pPr>
              <w:jc w:val="left"/>
            </w:pPr>
            <w:r>
              <w:rPr>
                <w:rFonts w:ascii="Calibri" w:cs="Calibri" w:eastAsia="Calibri" w:hAnsi="Calibri"/>
                <w:b w:val="false"/>
                <w:bCs w:val="false"/>
                <w:sz w:val="20"/>
                <w:szCs w:val="20"/>
              </w:rPr>
              <w:t xml:space="preserve">3. Deep Learning</w:t>
            </w:r>
          </w:p>
        </w:tc>
        <w:tc>
          <w:tcPr>
            <w:tcW w:type="dxa" w:w="2600"/>
          </w:tcPr>
          <w:p>
            <w:pPr>
              <w:jc w:val="left"/>
            </w:pPr>
            <w:r>
              <w:rPr>
                <w:rFonts w:ascii="Calibri" w:cs="Calibri" w:eastAsia="Calibri" w:hAnsi="Calibri"/>
                <w:b w:val="false"/>
                <w:bCs w:val="false"/>
                <w:sz w:val="20"/>
                <w:szCs w:val="20"/>
              </w:rPr>
              <w:t xml:space="preserve">Transfer learning: ResNet18, DenseNet121, ViT-B/16</w:t>
            </w:r>
          </w:p>
        </w:tc>
        <w:tc>
          <w:tcPr>
            <w:tcW w:type="dxa" w:w="2200"/>
          </w:tcPr>
          <w:p>
            <w:pPr>
              <w:jc w:val="left"/>
            </w:pPr>
            <w:r>
              <w:rPr>
                <w:rFonts w:ascii="Calibri" w:cs="Calibri" w:eastAsia="Calibri" w:hAnsi="Calibri"/>
                <w:b w:val="false"/>
                <w:bCs w:val="false"/>
                <w:sz w:val="20"/>
                <w:szCs w:val="20"/>
              </w:rPr>
              <w:t xml:space="preserve">train.py</w:t>
            </w:r>
          </w:p>
        </w:tc>
        <w:tc>
          <w:tcPr>
            <w:tcW w:type="dxa" w:w="2800"/>
          </w:tcPr>
          <w:p>
            <w:pPr>
              <w:jc w:val="left"/>
            </w:pPr>
            <w:r>
              <w:rPr>
                <w:rFonts w:ascii="Calibri" w:cs="Calibri" w:eastAsia="Calibri" w:hAnsi="Calibri"/>
                <w:b w:val="false"/>
                <w:bCs w:val="false"/>
                <w:sz w:val="20"/>
                <w:szCs w:val="20"/>
              </w:rPr>
              <w:t xml:space="preserve">outputs/&lt;tên-model&gt;/metrics.json</w:t>
            </w:r>
          </w:p>
        </w:tc>
      </w:tr>
    </w:tbl>
    <w:p>
      <w:pPr>
        <w:spacing w:after="200"/>
      </w:pPr>
    </w:p>
    <w:p>
      <w:pPr>
        <w:pStyle w:val="Heading1"/>
        <w:spacing w:after="150" w:before="300"/>
      </w:pPr>
      <w:r>
        <w:t xml:space="preserve">3. Các bước thực hiện</w:t>
      </w:r>
    </w:p>
    <w:p>
      <w:pPr>
        <w:pStyle w:val="Heading2"/>
        <w:spacing w:after="120" w:before="240"/>
      </w:pPr>
      <w:r>
        <w:t xml:space="preserve">Bước 1 — Chạy nhóm Giảm chiều dữ liệu</w:t>
      </w:r>
    </w:p>
    <w:p>
      <w:pPr>
        <w:spacing w:after="120"/>
      </w:pPr>
      <w:r>
        <w:rPr>
          <w:rFonts w:ascii="Calibri" w:cs="Calibri" w:eastAsia="Calibri" w:hAnsi="Calibri"/>
          <w:sz w:val="22"/>
          <w:szCs w:val="22"/>
        </w:rPr>
        <w:t xml:space="preserve">Chạy trên CPU, tương đối nhanh vì dùng PCA/LDA + SVM từ scikit-learn:</w:t>
      </w:r>
    </w:p>
    <w:p>
      <w:pPr>
        <w:pBdr>
          <w:top w:val="single" w:color="CCCCCC" w:sz="4"/>
          <w:bottom w:val="single" w:color="CCCCCC" w:sz="4"/>
          <w:left w:val="single" w:color="CCCCCC" w:sz="4"/>
          <w:right w:val="single" w:color="CCCCCC" w:sz="4"/>
        </w:pBdr>
        <w:shd w:fill="F0F0F0" w:val="clear"/>
        <w:spacing w:after="200" w:before="100"/>
        <w:ind w:left="200" w:right="200"/>
      </w:pPr>
      <w:r>
        <w:rPr>
          <w:rFonts w:ascii="Consolas" w:cs="Consolas" w:eastAsia="Consolas" w:hAnsi="Consolas"/>
          <w:sz w:val="20"/>
          <w:szCs w:val="20"/>
        </w:rPr>
        <w:t xml:space="preserve">cd /home/ngocson/seed-classification</w:t>
      </w:r>
      <w:r>
        <w:br/>
      </w:r>
      <w:r>
        <w:rPr>
          <w:rFonts w:ascii="Consolas" w:cs="Consolas" w:eastAsia="Consolas" w:hAnsi="Consolas"/>
          <w:sz w:val="20"/>
          <w:szCs w:val="20"/>
        </w:rPr>
        <w:t xml:space="preserve">python dimensionality_reduction.py --method pca</w:t>
      </w:r>
      <w:r>
        <w:br/>
      </w:r>
      <w:r>
        <w:rPr>
          <w:rFonts w:ascii="Consolas" w:cs="Consolas" w:eastAsia="Consolas" w:hAnsi="Consolas"/>
          <w:sz w:val="20"/>
          <w:szCs w:val="20"/>
        </w:rPr>
        <w:t xml:space="preserve">python dimensionality_reduction.py --method lda</w:t>
      </w:r>
    </w:p>
    <w:p>
      <w:pPr>
        <w:pStyle w:val="ListParagraph"/>
        <w:numPr>
          <w:ilvl w:val="0"/>
          <w:numId w:val="2"/>
        </w:numPr>
        <w:spacing w:after="60"/>
      </w:pPr>
      <w:r>
        <w:rPr>
          <w:rFonts w:ascii="Calibri" w:cs="Calibri" w:eastAsia="Calibri" w:hAnsi="Calibri"/>
          <w:sz w:val="22"/>
          <w:szCs w:val="22"/>
        </w:rPr>
        <w:t xml:space="preserve">outputs/dimensionality_pca/pca_components.png — giải thích các thành phần chính</w:t>
      </w:r>
    </w:p>
    <w:p>
      <w:pPr>
        <w:pStyle w:val="ListParagraph"/>
        <w:numPr>
          <w:ilvl w:val="0"/>
          <w:numId w:val="2"/>
        </w:numPr>
        <w:spacing w:after="60"/>
      </w:pPr>
      <w:r>
        <w:rPr>
          <w:rFonts w:ascii="Calibri" w:cs="Calibri" w:eastAsia="Calibri" w:hAnsi="Calibri"/>
          <w:sz w:val="22"/>
          <w:szCs w:val="22"/>
        </w:rPr>
        <w:t xml:space="preserve">outputs/dimensionality_pca/metrics.json — Accuracy/Precision/Recall/F1</w:t>
      </w:r>
    </w:p>
    <w:p>
      <w:pPr>
        <w:pStyle w:val="ListParagraph"/>
        <w:numPr>
          <w:ilvl w:val="0"/>
          <w:numId w:val="2"/>
        </w:numPr>
        <w:spacing w:after="60"/>
      </w:pPr>
      <w:r>
        <w:rPr>
          <w:rFonts w:ascii="Calibri" w:cs="Calibri" w:eastAsia="Calibri" w:hAnsi="Calibri"/>
          <w:sz w:val="22"/>
          <w:szCs w:val="22"/>
        </w:rPr>
        <w:t xml:space="preserve">outputs/dimensionality_pca/confusion_matrix.png — các lớp bị nhầm lẫn</w:t>
      </w:r>
    </w:p>
    <w:p>
      <w:pPr>
        <w:pStyle w:val="ListParagraph"/>
        <w:numPr>
          <w:ilvl w:val="0"/>
          <w:numId w:val="2"/>
        </w:numPr>
        <w:spacing w:after="60"/>
      </w:pPr>
      <w:r>
        <w:rPr>
          <w:rFonts w:ascii="Calibri" w:cs="Calibri" w:eastAsia="Calibri" w:hAnsi="Calibri"/>
          <w:sz w:val="22"/>
          <w:szCs w:val="22"/>
        </w:rPr>
        <w:t xml:space="preserve">Có thể rút ngắn thời gian bằng cờ --pca-components 100</w:t>
      </w:r>
    </w:p>
    <w:p>
      <w:pPr>
        <w:pStyle w:val="Heading2"/>
        <w:spacing w:after="120" w:before="240"/>
      </w:pPr>
      <w:r>
        <w:t xml:space="preserve">Bước 2 — Chạy nhóm Đặc trưng thủ công</w:t>
      </w:r>
    </w:p>
    <w:p>
      <w:pPr>
        <w:spacing w:after="120"/>
      </w:pPr>
      <w:r>
        <w:rPr>
          <w:rFonts w:ascii="Calibri" w:cs="Calibri" w:eastAsia="Calibri" w:hAnsi="Calibri"/>
          <w:sz w:val="22"/>
          <w:szCs w:val="22"/>
        </w:rPr>
        <w:t xml:space="preserve">HOG (hướng cạnh/hình dáng) + thống kê màu RGB, phân loại bằng SVM, MLP hoặc Decision Tree:</w:t>
      </w:r>
    </w:p>
    <w:p>
      <w:pPr>
        <w:pBdr>
          <w:top w:val="single" w:color="CCCCCC" w:sz="4"/>
          <w:bottom w:val="single" w:color="CCCCCC" w:sz="4"/>
          <w:left w:val="single" w:color="CCCCCC" w:sz="4"/>
          <w:right w:val="single" w:color="CCCCCC" w:sz="4"/>
        </w:pBdr>
        <w:shd w:fill="F0F0F0" w:val="clear"/>
        <w:spacing w:after="200" w:before="100"/>
        <w:ind w:left="200" w:right="200"/>
      </w:pPr>
      <w:r>
        <w:rPr>
          <w:rFonts w:ascii="Consolas" w:cs="Consolas" w:eastAsia="Consolas" w:hAnsi="Consolas"/>
          <w:sz w:val="20"/>
          <w:szCs w:val="20"/>
        </w:rPr>
        <w:t xml:space="preserve">python traditional_ml.py --classifier svm</w:t>
      </w:r>
      <w:r>
        <w:br/>
      </w:r>
      <w:r>
        <w:rPr>
          <w:rFonts w:ascii="Consolas" w:cs="Consolas" w:eastAsia="Consolas" w:hAnsi="Consolas"/>
          <w:sz w:val="20"/>
          <w:szCs w:val="20"/>
        </w:rPr>
        <w:t xml:space="preserve">python traditional_ml.py --classifier mlp</w:t>
      </w:r>
      <w:r>
        <w:br/>
      </w:r>
      <w:r>
        <w:rPr>
          <w:rFonts w:ascii="Consolas" w:cs="Consolas" w:eastAsia="Consolas" w:hAnsi="Consolas"/>
          <w:sz w:val="20"/>
          <w:szCs w:val="20"/>
        </w:rPr>
        <w:t xml:space="preserve">python traditional_ml.py --classifier decision_tree</w:t>
      </w:r>
    </w:p>
    <w:p>
      <w:pPr>
        <w:spacing w:after="120"/>
      </w:pPr>
      <w:r>
        <w:rPr>
          <w:rFonts w:ascii="Calibri" w:cs="Calibri" w:eastAsia="Calibri" w:hAnsi="Calibri"/>
          <w:sz w:val="22"/>
          <w:szCs w:val="22"/>
        </w:rPr>
        <w:t xml:space="preserve">Kiểm tra các file kết quả đã có sẵn trước khi chạy lại (tránh mất thời gian nếu đã chạy trên máy khác):</w:t>
      </w:r>
    </w:p>
    <w:p>
      <w:pPr>
        <w:pBdr>
          <w:top w:val="single" w:color="CCCCCC" w:sz="4"/>
          <w:bottom w:val="single" w:color="CCCCCC" w:sz="4"/>
          <w:left w:val="single" w:color="CCCCCC" w:sz="4"/>
          <w:right w:val="single" w:color="CCCCCC" w:sz="4"/>
        </w:pBdr>
        <w:shd w:fill="F0F0F0" w:val="clear"/>
        <w:spacing w:after="200" w:before="100"/>
        <w:ind w:left="200" w:right="200"/>
      </w:pPr>
      <w:r>
        <w:rPr>
          <w:rFonts w:ascii="Consolas" w:cs="Consolas" w:eastAsia="Consolas" w:hAnsi="Consolas"/>
          <w:sz w:val="20"/>
          <w:szCs w:val="20"/>
        </w:rPr>
        <w:t xml:space="preserve">ls outputs/*.json</w:t>
      </w:r>
    </w:p>
    <w:p>
      <w:pPr>
        <w:pStyle w:val="Heading2"/>
        <w:spacing w:after="120" w:before="240"/>
      </w:pPr>
      <w:r>
        <w:t xml:space="preserve">Bước 3 — Chạy nhóm Deep Learning (tận dụng GPU)</w:t>
      </w:r>
    </w:p>
    <w:p>
      <w:pPr>
        <w:spacing w:after="120"/>
      </w:pPr>
      <w:r>
        <w:rPr>
          <w:rFonts w:ascii="Calibri" w:cs="Calibri" w:eastAsia="Calibri" w:hAnsi="Calibri"/>
          <w:sz w:val="22"/>
          <w:szCs w:val="22"/>
        </w:rPr>
        <w:t xml:space="preserve">Vì server có GPU Blackwell với VRAM lớn, nên train đầy đủ theo đúng cấu hình báo cáo gốc (100 epochs) thay vì chạy demo 2 epoch:</w:t>
      </w:r>
    </w:p>
    <w:p>
      <w:pPr>
        <w:pBdr>
          <w:top w:val="single" w:color="CCCCCC" w:sz="4"/>
          <w:bottom w:val="single" w:color="CCCCCC" w:sz="4"/>
          <w:left w:val="single" w:color="CCCCCC" w:sz="4"/>
          <w:right w:val="single" w:color="CCCCCC" w:sz="4"/>
        </w:pBdr>
        <w:shd w:fill="F0F0F0" w:val="clear"/>
        <w:spacing w:after="200" w:before="100"/>
        <w:ind w:left="200" w:right="200"/>
      </w:pPr>
      <w:r>
        <w:rPr>
          <w:rFonts w:ascii="Consolas" w:cs="Consolas" w:eastAsia="Consolas" w:hAnsi="Consolas"/>
          <w:sz w:val="20"/>
          <w:szCs w:val="20"/>
        </w:rPr>
        <w:t xml:space="preserve">python train.py --model resnet18 --epochs 100 --batch-size 128</w:t>
      </w:r>
      <w:r>
        <w:br/>
      </w:r>
      <w:r>
        <w:rPr>
          <w:rFonts w:ascii="Consolas" w:cs="Consolas" w:eastAsia="Consolas" w:hAnsi="Consolas"/>
          <w:sz w:val="20"/>
          <w:szCs w:val="20"/>
        </w:rPr>
        <w:t xml:space="preserve">python train.py --model densenet121 --epochs 100 --batch-size 128</w:t>
      </w:r>
      <w:r>
        <w:br/>
      </w:r>
      <w:r>
        <w:rPr>
          <w:rFonts w:ascii="Consolas" w:cs="Consolas" w:eastAsia="Consolas" w:hAnsi="Consolas"/>
          <w:sz w:val="20"/>
          <w:szCs w:val="20"/>
        </w:rPr>
        <w:t xml:space="preserve">python train.py --model vit_b_16 --epochs 100 --batch-size 64</w:t>
      </w:r>
    </w:p>
    <w:p>
      <w:pPr>
        <w:spacing w:after="120"/>
      </w:pPr>
      <w:r>
        <w:rPr>
          <w:rFonts w:ascii="Calibri" w:cs="Calibri" w:eastAsia="Calibri" w:hAnsi="Calibri"/>
          <w:sz w:val="22"/>
          <w:szCs w:val="22"/>
        </w:rPr>
        <w:t xml:space="preserve">Cấu hình mặc định: ảnh 224×224, tối ưu AdamW, learning rate 0.0001, chia phân tầng 80/20 với seed 42. Mỗi lần chạy tạo ra trong outputs/&lt;tên-model&gt;/:</w:t>
      </w:r>
    </w:p>
    <w:p>
      <w:pPr>
        <w:pStyle w:val="ListParagraph"/>
        <w:numPr>
          <w:ilvl w:val="0"/>
          <w:numId w:val="2"/>
        </w:numPr>
        <w:spacing w:after="60"/>
      </w:pPr>
      <w:r>
        <w:rPr>
          <w:rFonts w:ascii="Calibri" w:cs="Calibri" w:eastAsia="Calibri" w:hAnsi="Calibri"/>
          <w:sz w:val="22"/>
          <w:szCs w:val="22"/>
        </w:rPr>
        <w:t xml:space="preserve">best.pt — trọng số tốt nhất</w:t>
      </w:r>
    </w:p>
    <w:p>
      <w:pPr>
        <w:pStyle w:val="ListParagraph"/>
        <w:numPr>
          <w:ilvl w:val="0"/>
          <w:numId w:val="2"/>
        </w:numPr>
        <w:spacing w:after="60"/>
      </w:pPr>
      <w:r>
        <w:rPr>
          <w:rFonts w:ascii="Calibri" w:cs="Calibri" w:eastAsia="Calibri" w:hAnsi="Calibri"/>
          <w:sz w:val="22"/>
          <w:szCs w:val="22"/>
        </w:rPr>
        <w:t xml:space="preserve">metrics.json — các chỉ số đánh giá</w:t>
      </w:r>
    </w:p>
    <w:p>
      <w:pPr>
        <w:pStyle w:val="ListParagraph"/>
        <w:numPr>
          <w:ilvl w:val="0"/>
          <w:numId w:val="2"/>
        </w:numPr>
        <w:spacing w:after="60"/>
      </w:pPr>
      <w:r>
        <w:rPr>
          <w:rFonts w:ascii="Calibri" w:cs="Calibri" w:eastAsia="Calibri" w:hAnsi="Calibri"/>
          <w:sz w:val="22"/>
          <w:szCs w:val="22"/>
        </w:rPr>
        <w:t xml:space="preserve">history.json — lịch sử loss/accuracy theo từng epoch</w:t>
      </w:r>
    </w:p>
    <w:p>
      <w:pPr>
        <w:pStyle w:val="ListParagraph"/>
        <w:numPr>
          <w:ilvl w:val="0"/>
          <w:numId w:val="2"/>
        </w:numPr>
        <w:spacing w:after="60"/>
      </w:pPr>
      <w:r>
        <w:rPr>
          <w:rFonts w:ascii="Calibri" w:cs="Calibri" w:eastAsia="Calibri" w:hAnsi="Calibri"/>
          <w:sz w:val="22"/>
          <w:szCs w:val="22"/>
        </w:rPr>
        <w:t xml:space="preserve">loss_curve.png — biểu đồ đường loss</w:t>
      </w:r>
    </w:p>
    <w:p>
      <w:pPr>
        <w:pStyle w:val="ListParagraph"/>
        <w:numPr>
          <w:ilvl w:val="0"/>
          <w:numId w:val="2"/>
        </w:numPr>
        <w:spacing w:after="60"/>
      </w:pPr>
      <w:r>
        <w:rPr>
          <w:rFonts w:ascii="Calibri" w:cs="Calibri" w:eastAsia="Calibri" w:hAnsi="Calibri"/>
          <w:sz w:val="22"/>
          <w:szCs w:val="22"/>
        </w:rPr>
        <w:t xml:space="preserve">confusion_matrix.png — ma trận nhầm lẫn</w:t>
      </w:r>
    </w:p>
    <w:p>
      <w:pPr>
        <w:pStyle w:val="Heading2"/>
        <w:spacing w:after="120" w:before="240"/>
      </w:pPr>
      <w:r>
        <w:t xml:space="preserve">Bước 4 — Kiểm tra dự đoán ảnh mới (tuỳ chọn)</w:t>
      </w:r>
    </w:p>
    <w:p>
      <w:pPr>
        <w:pBdr>
          <w:top w:val="single" w:color="CCCCCC" w:sz="4"/>
          <w:bottom w:val="single" w:color="CCCCCC" w:sz="4"/>
          <w:left w:val="single" w:color="CCCCCC" w:sz="4"/>
          <w:right w:val="single" w:color="CCCCCC" w:sz="4"/>
        </w:pBdr>
        <w:shd w:fill="F0F0F0" w:val="clear"/>
        <w:spacing w:after="200" w:before="100"/>
        <w:ind w:left="200" w:right="200"/>
      </w:pPr>
      <w:r>
        <w:rPr>
          <w:rFonts w:ascii="Consolas" w:cs="Consolas" w:eastAsia="Consolas" w:hAnsi="Consolas"/>
          <w:sz w:val="20"/>
          <w:szCs w:val="20"/>
        </w:rPr>
        <w:t xml:space="preserve">python predict.py "duong_dan_anh.jpg" --model resnet18 --checkpoint outputs/resnet18/best.pt</w:t>
      </w:r>
    </w:p>
    <w:p>
      <w:pPr>
        <w:pStyle w:val="Heading1"/>
        <w:spacing w:after="150" w:before="300"/>
      </w:pPr>
      <w:r>
        <w:t xml:space="preserve">4. Tổng hợp bảng so sánh</w:t>
      </w:r>
    </w:p>
    <w:p>
      <w:pPr>
        <w:spacing w:after="120"/>
      </w:pPr>
      <w:r>
        <w:rPr>
          <w:rFonts w:ascii="Calibri" w:cs="Calibri" w:eastAsia="Calibri" w:hAnsi="Calibri"/>
          <w:sz w:val="22"/>
          <w:szCs w:val="22"/>
        </w:rPr>
        <w:t xml:space="preserve">Sau khi các bước trên chạy xong, mở từng file metrics.json tương ứng, điền số liệu Accuracy/Precision/Recall/F1 vào bảng mẫu dưới đây: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600"/>
        <w:gridCol w:w="2000"/>
      </w:tblGrid>
      <w:tr>
        <w:tc>
          <w:tcPr>
            <w:tcW w:type="dxa" w:w="2600"/>
            <w:shd w:fill="D9E2F3" w:val="clear"/>
          </w:tcPr>
          <w:p>
            <w:pPr>
              <w:jc w:val="left"/>
            </w:pPr>
            <w:r>
              <w:rPr>
                <w:rFonts w:ascii="Calibri" w:cs="Calibri" w:eastAsia="Calibri" w:hAnsi="Calibri"/>
                <w:b/>
                <w:bCs/>
                <w:sz w:val="20"/>
                <w:szCs w:val="20"/>
              </w:rPr>
              <w:t xml:space="preserve">Phương pháp</w:t>
            </w:r>
          </w:p>
        </w:tc>
        <w:tc>
          <w:tcPr>
            <w:tcW w:type="dxa" w:w="1600"/>
            <w:shd w:fill="D9E2F3" w:val="clear"/>
          </w:tcPr>
          <w:p>
            <w:pPr>
              <w:jc w:val="left"/>
            </w:pPr>
            <w:r>
              <w:rPr>
                <w:rFonts w:ascii="Calibri" w:cs="Calibri" w:eastAsia="Calibri" w:hAnsi="Calibri"/>
                <w:b/>
                <w:bCs/>
                <w:sz w:val="20"/>
                <w:szCs w:val="20"/>
              </w:rPr>
              <w:t xml:space="preserve">Accuracy</w:t>
            </w:r>
          </w:p>
        </w:tc>
        <w:tc>
          <w:tcPr>
            <w:tcW w:type="dxa" w:w="1600"/>
            <w:shd w:fill="D9E2F3" w:val="clear"/>
          </w:tcPr>
          <w:p>
            <w:pPr>
              <w:jc w:val="left"/>
            </w:pPr>
            <w:r>
              <w:rPr>
                <w:rFonts w:ascii="Calibri" w:cs="Calibri" w:eastAsia="Calibri" w:hAnsi="Calibri"/>
                <w:b/>
                <w:bCs/>
                <w:sz w:val="20"/>
                <w:szCs w:val="20"/>
              </w:rPr>
              <w:t xml:space="preserve">Precision</w:t>
            </w:r>
          </w:p>
        </w:tc>
        <w:tc>
          <w:tcPr>
            <w:tcW w:type="dxa" w:w="1600"/>
            <w:shd w:fill="D9E2F3" w:val="clear"/>
          </w:tcPr>
          <w:p>
            <w:pPr>
              <w:jc w:val="left"/>
            </w:pPr>
            <w:r>
              <w:rPr>
                <w:rFonts w:ascii="Calibri" w:cs="Calibri" w:eastAsia="Calibri" w:hAnsi="Calibri"/>
                <w:b/>
                <w:bCs/>
                <w:sz w:val="20"/>
                <w:szCs w:val="20"/>
              </w:rPr>
              <w:t xml:space="preserve">Recall</w:t>
            </w:r>
          </w:p>
        </w:tc>
        <w:tc>
          <w:tcPr>
            <w:tcW w:type="dxa" w:w="1600"/>
            <w:shd w:fill="D9E2F3" w:val="clear"/>
          </w:tcPr>
          <w:p>
            <w:pPr>
              <w:jc w:val="left"/>
            </w:pPr>
            <w:r>
              <w:rPr>
                <w:rFonts w:ascii="Calibri" w:cs="Calibri" w:eastAsia="Calibri" w:hAnsi="Calibri"/>
                <w:b/>
                <w:bCs/>
                <w:sz w:val="20"/>
                <w:szCs w:val="20"/>
              </w:rPr>
              <w:t xml:space="preserve">F1-score</w:t>
            </w:r>
          </w:p>
        </w:tc>
        <w:tc>
          <w:tcPr>
            <w:tcW w:type="dxa" w:w="2000"/>
            <w:shd w:fill="D9E2F3" w:val="clear"/>
          </w:tcPr>
          <w:p>
            <w:pPr>
              <w:jc w:val="left"/>
            </w:pPr>
            <w:r>
              <w:rPr>
                <w:rFonts w:ascii="Calibri" w:cs="Calibri" w:eastAsia="Calibri" w:hAnsi="Calibri"/>
                <w:b/>
                <w:bCs/>
                <w:sz w:val="20"/>
                <w:szCs w:val="20"/>
              </w:rPr>
              <w:t xml:space="preserve">Nguồn metrics.json</w:t>
            </w:r>
          </w:p>
        </w:tc>
      </w:tr>
      <w:tr>
        <w:tc>
          <w:tcPr>
            <w:tcW w:type="dxa" w:w="2600"/>
          </w:tcPr>
          <w:p>
            <w:pPr>
              <w:jc w:val="left"/>
            </w:pPr>
            <w:r>
              <w:rPr>
                <w:rFonts w:ascii="Calibri" w:cs="Calibri" w:eastAsia="Calibri" w:hAnsi="Calibri"/>
                <w:b w:val="false"/>
                <w:bCs w:val="false"/>
                <w:sz w:val="20"/>
                <w:szCs w:val="20"/>
              </w:rPr>
              <w:t xml:space="preserve">PCA + SVM (Eigenfaces)</w:t>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2000"/>
          </w:tcPr>
          <w:p>
            <w:pPr>
              <w:jc w:val="left"/>
            </w:pPr>
            <w:r>
              <w:rPr>
                <w:rFonts w:ascii="Calibri" w:cs="Calibri" w:eastAsia="Calibri" w:hAnsi="Calibri"/>
                <w:b w:val="false"/>
                <w:bCs w:val="false"/>
                <w:sz w:val="20"/>
                <w:szCs w:val="20"/>
              </w:rPr>
              <w:t xml:space="preserve">outputs/dimensionality_pca/</w:t>
            </w:r>
          </w:p>
        </w:tc>
      </w:tr>
      <w:tr>
        <w:tc>
          <w:tcPr>
            <w:tcW w:type="dxa" w:w="2600"/>
          </w:tcPr>
          <w:p>
            <w:pPr>
              <w:jc w:val="left"/>
            </w:pPr>
            <w:r>
              <w:rPr>
                <w:rFonts w:ascii="Calibri" w:cs="Calibri" w:eastAsia="Calibri" w:hAnsi="Calibri"/>
                <w:b w:val="false"/>
                <w:bCs w:val="false"/>
                <w:sz w:val="20"/>
                <w:szCs w:val="20"/>
              </w:rPr>
              <w:t xml:space="preserve">PCA + LDA + SVM (Fisherfaces)</w:t>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2000"/>
          </w:tcPr>
          <w:p>
            <w:pPr>
              <w:jc w:val="left"/>
            </w:pPr>
            <w:r>
              <w:rPr>
                <w:rFonts w:ascii="Calibri" w:cs="Calibri" w:eastAsia="Calibri" w:hAnsi="Calibri"/>
                <w:b w:val="false"/>
                <w:bCs w:val="false"/>
                <w:sz w:val="20"/>
                <w:szCs w:val="20"/>
              </w:rPr>
              <w:t xml:space="preserve">outputs/dimensionality_lda/</w:t>
            </w:r>
          </w:p>
        </w:tc>
      </w:tr>
      <w:tr>
        <w:tc>
          <w:tcPr>
            <w:tcW w:type="dxa" w:w="2600"/>
          </w:tcPr>
          <w:p>
            <w:pPr>
              <w:jc w:val="left"/>
            </w:pPr>
            <w:r>
              <w:rPr>
                <w:rFonts w:ascii="Calibri" w:cs="Calibri" w:eastAsia="Calibri" w:hAnsi="Calibri"/>
                <w:b w:val="false"/>
                <w:bCs w:val="false"/>
                <w:sz w:val="20"/>
                <w:szCs w:val="20"/>
              </w:rPr>
              <w:t xml:space="preserve">HOG + màu sắc + SVM</w:t>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2000"/>
          </w:tcPr>
          <w:p>
            <w:pPr>
              <w:jc w:val="left"/>
            </w:pPr>
            <w:r>
              <w:rPr>
                <w:rFonts w:ascii="Calibri" w:cs="Calibri" w:eastAsia="Calibri" w:hAnsi="Calibri"/>
                <w:b w:val="false"/>
                <w:bCs w:val="false"/>
                <w:sz w:val="20"/>
                <w:szCs w:val="20"/>
              </w:rPr>
              <w:t xml:space="preserve">outputs/traditional_svm.json</w:t>
            </w:r>
          </w:p>
        </w:tc>
      </w:tr>
      <w:tr>
        <w:tc>
          <w:tcPr>
            <w:tcW w:type="dxa" w:w="2600"/>
          </w:tcPr>
          <w:p>
            <w:pPr>
              <w:jc w:val="left"/>
            </w:pPr>
            <w:r>
              <w:rPr>
                <w:rFonts w:ascii="Calibri" w:cs="Calibri" w:eastAsia="Calibri" w:hAnsi="Calibri"/>
                <w:b w:val="false"/>
                <w:bCs w:val="false"/>
                <w:sz w:val="20"/>
                <w:szCs w:val="20"/>
              </w:rPr>
              <w:t xml:space="preserve">HOG + màu sắc + MLP</w:t>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2000"/>
          </w:tcPr>
          <w:p>
            <w:pPr>
              <w:jc w:val="left"/>
            </w:pPr>
            <w:r>
              <w:rPr>
                <w:rFonts w:ascii="Calibri" w:cs="Calibri" w:eastAsia="Calibri" w:hAnsi="Calibri"/>
                <w:b w:val="false"/>
                <w:bCs w:val="false"/>
                <w:sz w:val="20"/>
                <w:szCs w:val="20"/>
              </w:rPr>
              <w:t xml:space="preserve">outputs/traditional_mlp.json</w:t>
            </w:r>
          </w:p>
        </w:tc>
      </w:tr>
      <w:tr>
        <w:tc>
          <w:tcPr>
            <w:tcW w:type="dxa" w:w="2600"/>
          </w:tcPr>
          <w:p>
            <w:pPr>
              <w:jc w:val="left"/>
            </w:pPr>
            <w:r>
              <w:rPr>
                <w:rFonts w:ascii="Calibri" w:cs="Calibri" w:eastAsia="Calibri" w:hAnsi="Calibri"/>
                <w:b w:val="false"/>
                <w:bCs w:val="false"/>
                <w:sz w:val="20"/>
                <w:szCs w:val="20"/>
              </w:rPr>
              <w:t xml:space="preserve">HOG + màu sắc + Decision Tree</w:t>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2000"/>
          </w:tcPr>
          <w:p>
            <w:pPr>
              <w:jc w:val="left"/>
            </w:pPr>
            <w:r>
              <w:rPr>
                <w:rFonts w:ascii="Calibri" w:cs="Calibri" w:eastAsia="Calibri" w:hAnsi="Calibri"/>
                <w:b w:val="false"/>
                <w:bCs w:val="false"/>
                <w:sz w:val="20"/>
                <w:szCs w:val="20"/>
              </w:rPr>
              <w:t xml:space="preserve">outputs/traditional_decision_tree.json</w:t>
            </w:r>
          </w:p>
        </w:tc>
      </w:tr>
      <w:tr>
        <w:tc>
          <w:tcPr>
            <w:tcW w:type="dxa" w:w="2600"/>
          </w:tcPr>
          <w:p>
            <w:pPr>
              <w:jc w:val="left"/>
            </w:pPr>
            <w:r>
              <w:rPr>
                <w:rFonts w:ascii="Calibri" w:cs="Calibri" w:eastAsia="Calibri" w:hAnsi="Calibri"/>
                <w:b w:val="false"/>
                <w:bCs w:val="false"/>
                <w:sz w:val="20"/>
                <w:szCs w:val="20"/>
              </w:rPr>
              <w:t xml:space="preserve">ResNet18 (transfer learning)</w:t>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2000"/>
          </w:tcPr>
          <w:p>
            <w:pPr>
              <w:jc w:val="left"/>
            </w:pPr>
            <w:r>
              <w:rPr>
                <w:rFonts w:ascii="Calibri" w:cs="Calibri" w:eastAsia="Calibri" w:hAnsi="Calibri"/>
                <w:b w:val="false"/>
                <w:bCs w:val="false"/>
                <w:sz w:val="20"/>
                <w:szCs w:val="20"/>
              </w:rPr>
              <w:t xml:space="preserve">outputs/resnet18/</w:t>
            </w:r>
          </w:p>
        </w:tc>
      </w:tr>
      <w:tr>
        <w:tc>
          <w:tcPr>
            <w:tcW w:type="dxa" w:w="2600"/>
          </w:tcPr>
          <w:p>
            <w:pPr>
              <w:jc w:val="left"/>
            </w:pPr>
            <w:r>
              <w:rPr>
                <w:rFonts w:ascii="Calibri" w:cs="Calibri" w:eastAsia="Calibri" w:hAnsi="Calibri"/>
                <w:b w:val="false"/>
                <w:bCs w:val="false"/>
                <w:sz w:val="20"/>
                <w:szCs w:val="20"/>
              </w:rPr>
              <w:t xml:space="preserve">DenseNet121 (transfer learning)</w:t>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2000"/>
          </w:tcPr>
          <w:p>
            <w:pPr>
              <w:jc w:val="left"/>
            </w:pPr>
            <w:r>
              <w:rPr>
                <w:rFonts w:ascii="Calibri" w:cs="Calibri" w:eastAsia="Calibri" w:hAnsi="Calibri"/>
                <w:b w:val="false"/>
                <w:bCs w:val="false"/>
                <w:sz w:val="20"/>
                <w:szCs w:val="20"/>
              </w:rPr>
              <w:t xml:space="preserve">outputs/densenet121/</w:t>
            </w:r>
          </w:p>
        </w:tc>
      </w:tr>
      <w:tr>
        <w:tc>
          <w:tcPr>
            <w:tcW w:type="dxa" w:w="2600"/>
          </w:tcPr>
          <w:p>
            <w:pPr>
              <w:jc w:val="left"/>
            </w:pPr>
            <w:r>
              <w:rPr>
                <w:rFonts w:ascii="Calibri" w:cs="Calibri" w:eastAsia="Calibri" w:hAnsi="Calibri"/>
                <w:b w:val="false"/>
                <w:bCs w:val="false"/>
                <w:sz w:val="20"/>
                <w:szCs w:val="20"/>
              </w:rPr>
              <w:t xml:space="preserve">ViT-B/16 (transfer learning)</w:t>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1600"/>
          </w:tcPr>
          <w:p>
            <w:pPr>
              <w:jc w:val="left"/>
            </w:pPr>
            <w:r>
              <w:rPr>
                <w:rFonts w:ascii="Calibri" w:cs="Calibri" w:eastAsia="Calibri" w:hAnsi="Calibri"/>
                <w:b w:val="false"/>
                <w:bCs w:val="false"/>
                <w:sz w:val="20"/>
                <w:szCs w:val="20"/>
              </w:rPr>
              <w:t xml:space="preserve"/>
            </w:r>
          </w:p>
        </w:tc>
        <w:tc>
          <w:tcPr>
            <w:tcW w:type="dxa" w:w="2000"/>
          </w:tcPr>
          <w:p>
            <w:pPr>
              <w:jc w:val="left"/>
            </w:pPr>
            <w:r>
              <w:rPr>
                <w:rFonts w:ascii="Calibri" w:cs="Calibri" w:eastAsia="Calibri" w:hAnsi="Calibri"/>
                <w:b w:val="false"/>
                <w:bCs w:val="false"/>
                <w:sz w:val="20"/>
                <w:szCs w:val="20"/>
              </w:rPr>
              <w:t xml:space="preserve">outputs/vit_b_16/</w:t>
            </w:r>
          </w:p>
        </w:tc>
      </w:tr>
    </w:tbl>
    <w:p>
      <w:pPr>
        <w:spacing w:after="200"/>
      </w:pPr>
    </w:p>
    <w:p>
      <w:pPr>
        <w:spacing w:after="120"/>
      </w:pPr>
      <w:r>
        <w:rPr>
          <w:rFonts w:ascii="Calibri" w:cs="Calibri" w:eastAsia="Calibri" w:hAnsi="Calibri"/>
          <w:sz w:val="22"/>
          <w:szCs w:val="22"/>
        </w:rPr>
        <w:t xml:space="preserve">Gợi ý khi trình bày:</w:t>
      </w:r>
    </w:p>
    <w:p>
      <w:pPr>
        <w:pStyle w:val="ListParagraph"/>
        <w:numPr>
          <w:ilvl w:val="0"/>
          <w:numId w:val="2"/>
        </w:numPr>
        <w:spacing w:after="60"/>
      </w:pPr>
      <w:r>
        <w:rPr>
          <w:rFonts w:ascii="Calibri" w:cs="Calibri" w:eastAsia="Calibri" w:hAnsi="Calibri"/>
          <w:sz w:val="22"/>
          <w:szCs w:val="22"/>
        </w:rPr>
        <w:t xml:space="preserve">Nhóm 1 (PCA/LDA) là baseline đơn giản nhất — kỳ vọng độ chính xác thấp nhất.</w:t>
      </w:r>
    </w:p>
    <w:p>
      <w:pPr>
        <w:pStyle w:val="ListParagraph"/>
        <w:numPr>
          <w:ilvl w:val="0"/>
          <w:numId w:val="2"/>
        </w:numPr>
        <w:spacing w:after="60"/>
      </w:pPr>
      <w:r>
        <w:rPr>
          <w:rFonts w:ascii="Calibri" w:cs="Calibri" w:eastAsia="Calibri" w:hAnsi="Calibri"/>
          <w:sz w:val="22"/>
          <w:szCs w:val="22"/>
        </w:rPr>
        <w:t xml:space="preserve">Nhóm 2 (HOG + màu sắc) thường khá hơn nhóm 1 vì đặc trưng thiết kế thủ công bám sát hình dạng/màu hạt giống hơn.</w:t>
      </w:r>
    </w:p>
    <w:p>
      <w:pPr>
        <w:pStyle w:val="ListParagraph"/>
        <w:numPr>
          <w:ilvl w:val="0"/>
          <w:numId w:val="2"/>
        </w:numPr>
        <w:spacing w:after="60"/>
      </w:pPr>
      <w:r>
        <w:rPr>
          <w:rFonts w:ascii="Calibri" w:cs="Calibri" w:eastAsia="Calibri" w:hAnsi="Calibri"/>
          <w:sz w:val="22"/>
          <w:szCs w:val="22"/>
        </w:rPr>
        <w:t xml:space="preserve">Nhóm 3 (Deep Learning) thường cho kết quả cao nhất nhờ tự học đặc trưng từ dữ liệu, đặc biệt khi train đủ epoch.</w:t>
      </w:r>
    </w:p>
    <w:p>
      <w:pPr>
        <w:pStyle w:val="ListParagraph"/>
        <w:numPr>
          <w:ilvl w:val="0"/>
          <w:numId w:val="2"/>
        </w:numPr>
        <w:spacing w:after="60"/>
      </w:pPr>
      <w:r>
        <w:rPr>
          <w:rFonts w:ascii="Calibri" w:cs="Calibri" w:eastAsia="Calibri" w:hAnsi="Calibri"/>
          <w:sz w:val="22"/>
          <w:szCs w:val="22"/>
        </w:rPr>
        <w:t xml:space="preserve">So sánh thêm thời gian huấn luyện và độ phức tạp mô hình nếu báo cáo yêu cầu phân tích trade-off.</w:t>
      </w:r>
    </w:p>
    <w:p>
      <w:pPr>
        <w:pStyle w:val="Heading1"/>
        <w:spacing w:after="150" w:before="300"/>
      </w:pPr>
      <w:r>
        <w:t xml:space="preserve">5. Lưu ý về phương pháp luận</w:t>
      </w:r>
    </w:p>
    <w:p>
      <w:pPr>
        <w:spacing w:after="120"/>
      </w:pPr>
      <w:r>
        <w:rPr>
          <w:rFonts w:ascii="Calibri" w:cs="Calibri" w:eastAsia="Calibri" w:hAnsi="Calibri"/>
          <w:sz w:val="22"/>
          <w:szCs w:val="22"/>
        </w:rPr>
        <w:t xml:space="preserve">Tập 20% hiện đóng vai trò tập đánh giá (validation) trong quá trình huấn luyện — phù hợp cho demo môn học. Nếu cần báo cáo khoa học nghiêm ngặt hơn, nên chia riêng train/validation/test hoặc dùng cross-validation, và chỉ mở tập test một lần duy nhất ở cuối để tránh lạc quan hóa kết quả (data leakage khi tinh chỉnh nhiều lần trên cùng một tập).</w:t>
      </w:r>
    </w:p>
    <w:p>
      <w:pPr>
        <w:pStyle w:val="Heading1"/>
        <w:spacing w:after="150" w:before="300"/>
      </w:pPr>
      <w:r>
        <w:t xml:space="preserve">6. Từ vựng kỹ thuật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00"/>
      </w:tblGrid>
      <w:tr>
        <w:tc>
          <w:tcPr>
            <w:tcW w:type="dxa" w:w="2400"/>
            <w:shd w:fill="D9E2F3" w:val="clear"/>
          </w:tcPr>
          <w:p>
            <w:pPr>
              <w:jc w:val="left"/>
            </w:pPr>
            <w:r>
              <w:rPr>
                <w:rFonts w:ascii="Calibri" w:cs="Calibri" w:eastAsia="Calibri" w:hAnsi="Calibri"/>
                <w:b/>
                <w:bCs/>
                <w:sz w:val="20"/>
                <w:szCs w:val="20"/>
              </w:rPr>
              <w:t xml:space="preserve">Từ vựng</w:t>
            </w:r>
          </w:p>
        </w:tc>
        <w:tc>
          <w:tcPr>
            <w:tcW w:type="dxa" w:w="2000"/>
            <w:shd w:fill="D9E2F3" w:val="clear"/>
          </w:tcPr>
          <w:p>
            <w:pPr>
              <w:jc w:val="left"/>
            </w:pPr>
            <w:r>
              <w:rPr>
                <w:rFonts w:ascii="Calibri" w:cs="Calibri" w:eastAsia="Calibri" w:hAnsi="Calibri"/>
                <w:b/>
                <w:bCs/>
                <w:sz w:val="20"/>
                <w:szCs w:val="20"/>
              </w:rPr>
              <w:t xml:space="preserve">Phiên âm (IPA)</w:t>
            </w:r>
          </w:p>
        </w:tc>
        <w:tc>
          <w:tcPr>
            <w:tcW w:type="dxa" w:w="5200"/>
            <w:shd w:fill="D9E2F3" w:val="clear"/>
          </w:tcPr>
          <w:p>
            <w:pPr>
              <w:jc w:val="left"/>
            </w:pPr>
            <w:r>
              <w:rPr>
                <w:rFonts w:ascii="Calibri" w:cs="Calibri" w:eastAsia="Calibri" w:hAnsi="Calibri"/>
                <w:b/>
                <w:bCs/>
                <w:sz w:val="20"/>
                <w:szCs w:val="20"/>
              </w:rPr>
              <w:t xml:space="preserve">Nghĩa / Giải thích</w:t>
            </w:r>
          </w:p>
        </w:tc>
      </w:tr>
      <w:tr>
        <w:tc>
          <w:tcPr>
            <w:tcW w:type="dxa" w:w="2400"/>
          </w:tcPr>
          <w:p>
            <w:pPr>
              <w:jc w:val="left"/>
            </w:pPr>
            <w:r>
              <w:rPr>
                <w:rFonts w:ascii="Calibri" w:cs="Calibri" w:eastAsia="Calibri" w:hAnsi="Calibri"/>
                <w:b/>
                <w:bCs/>
                <w:sz w:val="20"/>
                <w:szCs w:val="20"/>
              </w:rPr>
              <w:t xml:space="preserve">checkpoint</w:t>
            </w:r>
          </w:p>
        </w:tc>
        <w:tc>
          <w:tcPr>
            <w:tcW w:type="dxa" w:w="2000"/>
          </w:tcPr>
          <w:p>
            <w:pPr>
              <w:jc w:val="left"/>
            </w:pPr>
            <w:r>
              <w:rPr>
                <w:rFonts w:ascii="Calibri" w:cs="Calibri" w:eastAsia="Calibri" w:hAnsi="Calibri"/>
                <w:b w:val="false"/>
                <w:bCs w:val="false"/>
                <w:sz w:val="20"/>
                <w:szCs w:val="20"/>
              </w:rPr>
              <w:t xml:space="preserve">/ˈtʃek.pɔɪnt/</w:t>
            </w:r>
          </w:p>
        </w:tc>
        <w:tc>
          <w:tcPr>
            <w:tcW w:type="dxa" w:w="5200"/>
          </w:tcPr>
          <w:p>
            <w:pPr>
              <w:jc w:val="left"/>
            </w:pPr>
            <w:r>
              <w:rPr>
                <w:rFonts w:ascii="Calibri" w:cs="Calibri" w:eastAsia="Calibri" w:hAnsi="Calibri"/>
                <w:b w:val="false"/>
                <w:bCs w:val="false"/>
                <w:sz w:val="20"/>
                <w:szCs w:val="20"/>
              </w:rPr>
              <w:t xml:space="preserve">Tệp lưu trọng số mô hình tại một thời điểm huấn luyện, dùng để nạp lại (inference) mà không cần train lại.</w:t>
            </w:r>
          </w:p>
        </w:tc>
      </w:tr>
      <w:tr>
        <w:tc>
          <w:tcPr>
            <w:tcW w:type="dxa" w:w="2400"/>
          </w:tcPr>
          <w:p>
            <w:pPr>
              <w:jc w:val="left"/>
            </w:pPr>
            <w:r>
              <w:rPr>
                <w:rFonts w:ascii="Calibri" w:cs="Calibri" w:eastAsia="Calibri" w:hAnsi="Calibri"/>
                <w:b/>
                <w:bCs/>
                <w:sz w:val="20"/>
                <w:szCs w:val="20"/>
              </w:rPr>
              <w:t xml:space="preserve">epoch</w:t>
            </w:r>
          </w:p>
        </w:tc>
        <w:tc>
          <w:tcPr>
            <w:tcW w:type="dxa" w:w="2000"/>
          </w:tcPr>
          <w:p>
            <w:pPr>
              <w:jc w:val="left"/>
            </w:pPr>
            <w:r>
              <w:rPr>
                <w:rFonts w:ascii="Calibri" w:cs="Calibri" w:eastAsia="Calibri" w:hAnsi="Calibri"/>
                <w:b w:val="false"/>
                <w:bCs w:val="false"/>
                <w:sz w:val="20"/>
                <w:szCs w:val="20"/>
              </w:rPr>
              <w:t xml:space="preserve">/ˈiː.pɒk/</w:t>
            </w:r>
          </w:p>
        </w:tc>
        <w:tc>
          <w:tcPr>
            <w:tcW w:type="dxa" w:w="5200"/>
          </w:tcPr>
          <w:p>
            <w:pPr>
              <w:jc w:val="left"/>
            </w:pPr>
            <w:r>
              <w:rPr>
                <w:rFonts w:ascii="Calibri" w:cs="Calibri" w:eastAsia="Calibri" w:hAnsi="Calibri"/>
                <w:b w:val="false"/>
                <w:bCs w:val="false"/>
                <w:sz w:val="20"/>
                <w:szCs w:val="20"/>
              </w:rPr>
              <w:t xml:space="preserve">Một lượt duyệt qua toàn bộ tập dữ liệu huấn luyện.</w:t>
            </w:r>
          </w:p>
        </w:tc>
      </w:tr>
      <w:tr>
        <w:tc>
          <w:tcPr>
            <w:tcW w:type="dxa" w:w="2400"/>
          </w:tcPr>
          <w:p>
            <w:pPr>
              <w:jc w:val="left"/>
            </w:pPr>
            <w:r>
              <w:rPr>
                <w:rFonts w:ascii="Calibri" w:cs="Calibri" w:eastAsia="Calibri" w:hAnsi="Calibri"/>
                <w:b/>
                <w:bCs/>
                <w:sz w:val="20"/>
                <w:szCs w:val="20"/>
              </w:rPr>
              <w:t xml:space="preserve">metrics</w:t>
            </w:r>
          </w:p>
        </w:tc>
        <w:tc>
          <w:tcPr>
            <w:tcW w:type="dxa" w:w="2000"/>
          </w:tcPr>
          <w:p>
            <w:pPr>
              <w:jc w:val="left"/>
            </w:pPr>
            <w:r>
              <w:rPr>
                <w:rFonts w:ascii="Calibri" w:cs="Calibri" w:eastAsia="Calibri" w:hAnsi="Calibri"/>
                <w:b w:val="false"/>
                <w:bCs w:val="false"/>
                <w:sz w:val="20"/>
                <w:szCs w:val="20"/>
              </w:rPr>
              <w:t xml:space="preserve">/ˈmet.rɪks/</w:t>
            </w:r>
          </w:p>
        </w:tc>
        <w:tc>
          <w:tcPr>
            <w:tcW w:type="dxa" w:w="5200"/>
          </w:tcPr>
          <w:p>
            <w:pPr>
              <w:jc w:val="left"/>
            </w:pPr>
            <w:r>
              <w:rPr>
                <w:rFonts w:ascii="Calibri" w:cs="Calibri" w:eastAsia="Calibri" w:hAnsi="Calibri"/>
                <w:b w:val="false"/>
                <w:bCs w:val="false"/>
                <w:sz w:val="20"/>
                <w:szCs w:val="20"/>
              </w:rPr>
              <w:t xml:space="preserve">Các chỉ số đánh giá mô hình: Accuracy, Precision, Recall, F1-score.</w:t>
            </w:r>
          </w:p>
        </w:tc>
      </w:tr>
      <w:tr>
        <w:tc>
          <w:tcPr>
            <w:tcW w:type="dxa" w:w="2400"/>
          </w:tcPr>
          <w:p>
            <w:pPr>
              <w:jc w:val="left"/>
            </w:pPr>
            <w:r>
              <w:rPr>
                <w:rFonts w:ascii="Calibri" w:cs="Calibri" w:eastAsia="Calibri" w:hAnsi="Calibri"/>
                <w:b/>
                <w:bCs/>
                <w:sz w:val="20"/>
                <w:szCs w:val="20"/>
              </w:rPr>
              <w:t xml:space="preserve">confusion matrix</w:t>
            </w:r>
          </w:p>
        </w:tc>
        <w:tc>
          <w:tcPr>
            <w:tcW w:type="dxa" w:w="2000"/>
          </w:tcPr>
          <w:p>
            <w:pPr>
              <w:jc w:val="left"/>
            </w:pPr>
            <w:r>
              <w:rPr>
                <w:rFonts w:ascii="Calibri" w:cs="Calibri" w:eastAsia="Calibri" w:hAnsi="Calibri"/>
                <w:b w:val="false"/>
                <w:bCs w:val="false"/>
                <w:sz w:val="20"/>
                <w:szCs w:val="20"/>
              </w:rPr>
              <w:t xml:space="preserve">/kənˈfjuː.ʒən ˈmeɪ.trɪks/</w:t>
            </w:r>
          </w:p>
        </w:tc>
        <w:tc>
          <w:tcPr>
            <w:tcW w:type="dxa" w:w="5200"/>
          </w:tcPr>
          <w:p>
            <w:pPr>
              <w:jc w:val="left"/>
            </w:pPr>
            <w:r>
              <w:rPr>
                <w:rFonts w:ascii="Calibri" w:cs="Calibri" w:eastAsia="Calibri" w:hAnsi="Calibri"/>
                <w:b w:val="false"/>
                <w:bCs w:val="false"/>
                <w:sz w:val="20"/>
                <w:szCs w:val="20"/>
              </w:rPr>
              <w:t xml:space="preserve">Ma trận nhầm lẫn — bảng thể hiện số lượng dự đoán đúng/sai theo từng lớp.</w:t>
            </w:r>
          </w:p>
        </w:tc>
      </w:tr>
      <w:tr>
        <w:tc>
          <w:tcPr>
            <w:tcW w:type="dxa" w:w="2400"/>
          </w:tcPr>
          <w:p>
            <w:pPr>
              <w:jc w:val="left"/>
            </w:pPr>
            <w:r>
              <w:rPr>
                <w:rFonts w:ascii="Calibri" w:cs="Calibri" w:eastAsia="Calibri" w:hAnsi="Calibri"/>
                <w:b/>
                <w:bCs/>
                <w:sz w:val="20"/>
                <w:szCs w:val="20"/>
              </w:rPr>
              <w:t xml:space="preserve">dimensionality reduction</w:t>
            </w:r>
          </w:p>
        </w:tc>
        <w:tc>
          <w:tcPr>
            <w:tcW w:type="dxa" w:w="2000"/>
          </w:tcPr>
          <w:p>
            <w:pPr>
              <w:jc w:val="left"/>
            </w:pPr>
            <w:r>
              <w:rPr>
                <w:rFonts w:ascii="Calibri" w:cs="Calibri" w:eastAsia="Calibri" w:hAnsi="Calibri"/>
                <w:b w:val="false"/>
                <w:bCs w:val="false"/>
                <w:sz w:val="20"/>
                <w:szCs w:val="20"/>
              </w:rPr>
              <w:t xml:space="preserve">/daɪˌmen.ʃəˈnæl.ə.ti rɪˈdʌk.ʃən/</w:t>
            </w:r>
          </w:p>
        </w:tc>
        <w:tc>
          <w:tcPr>
            <w:tcW w:type="dxa" w:w="5200"/>
          </w:tcPr>
          <w:p>
            <w:pPr>
              <w:jc w:val="left"/>
            </w:pPr>
            <w:r>
              <w:rPr>
                <w:rFonts w:ascii="Calibri" w:cs="Calibri" w:eastAsia="Calibri" w:hAnsi="Calibri"/>
                <w:b w:val="false"/>
                <w:bCs w:val="false"/>
                <w:sz w:val="20"/>
                <w:szCs w:val="20"/>
              </w:rPr>
              <w:t xml:space="preserve">Giảm chiều dữ liệu — kỹ thuật nén đặc trưng ảnh về không gian ít chiều hơn (ví dụ PCA).</w:t>
            </w:r>
          </w:p>
        </w:tc>
      </w:tr>
      <w:tr>
        <w:tc>
          <w:tcPr>
            <w:tcW w:type="dxa" w:w="2400"/>
          </w:tcPr>
          <w:p>
            <w:pPr>
              <w:jc w:val="left"/>
            </w:pPr>
            <w:r>
              <w:rPr>
                <w:rFonts w:ascii="Calibri" w:cs="Calibri" w:eastAsia="Calibri" w:hAnsi="Calibri"/>
                <w:b/>
                <w:bCs/>
                <w:sz w:val="20"/>
                <w:szCs w:val="20"/>
              </w:rPr>
              <w:t xml:space="preserve">transfer learning</w:t>
            </w:r>
          </w:p>
        </w:tc>
        <w:tc>
          <w:tcPr>
            <w:tcW w:type="dxa" w:w="2000"/>
          </w:tcPr>
          <w:p>
            <w:pPr>
              <w:jc w:val="left"/>
            </w:pPr>
            <w:r>
              <w:rPr>
                <w:rFonts w:ascii="Calibri" w:cs="Calibri" w:eastAsia="Calibri" w:hAnsi="Calibri"/>
                <w:b w:val="false"/>
                <w:bCs w:val="false"/>
                <w:sz w:val="20"/>
                <w:szCs w:val="20"/>
              </w:rPr>
              <w:t xml:space="preserve">/ˈtræns.fɜːr ˈlɜː.nɪŋ/</w:t>
            </w:r>
          </w:p>
        </w:tc>
        <w:tc>
          <w:tcPr>
            <w:tcW w:type="dxa" w:w="5200"/>
          </w:tcPr>
          <w:p>
            <w:pPr>
              <w:jc w:val="left"/>
            </w:pPr>
            <w:r>
              <w:rPr>
                <w:rFonts w:ascii="Calibri" w:cs="Calibri" w:eastAsia="Calibri" w:hAnsi="Calibri"/>
                <w:b w:val="false"/>
                <w:bCs w:val="false"/>
                <w:sz w:val="20"/>
                <w:szCs w:val="20"/>
              </w:rPr>
              <w:t xml:space="preserve">Học chuyển giao — tận dụng mô hình đã huấn luyện trước (pretrained) rồi tinh chỉnh cho bài toán mới.</w:t>
            </w:r>
          </w:p>
        </w:tc>
      </w:tr>
      <w:tr>
        <w:tc>
          <w:tcPr>
            <w:tcW w:type="dxa" w:w="2400"/>
          </w:tcPr>
          <w:p>
            <w:pPr>
              <w:jc w:val="left"/>
            </w:pPr>
            <w:r>
              <w:rPr>
                <w:rFonts w:ascii="Calibri" w:cs="Calibri" w:eastAsia="Calibri" w:hAnsi="Calibri"/>
                <w:b/>
                <w:bCs/>
                <w:sz w:val="20"/>
                <w:szCs w:val="20"/>
              </w:rPr>
              <w:t xml:space="preserve">baseline</w:t>
            </w:r>
          </w:p>
        </w:tc>
        <w:tc>
          <w:tcPr>
            <w:tcW w:type="dxa" w:w="2000"/>
          </w:tcPr>
          <w:p>
            <w:pPr>
              <w:jc w:val="left"/>
            </w:pPr>
            <w:r>
              <w:rPr>
                <w:rFonts w:ascii="Calibri" w:cs="Calibri" w:eastAsia="Calibri" w:hAnsi="Calibri"/>
                <w:b w:val="false"/>
                <w:bCs w:val="false"/>
                <w:sz w:val="20"/>
                <w:szCs w:val="20"/>
              </w:rPr>
              <w:t xml:space="preserve">/ˈbeɪs.laɪn/</w:t>
            </w:r>
          </w:p>
        </w:tc>
        <w:tc>
          <w:tcPr>
            <w:tcW w:type="dxa" w:w="5200"/>
          </w:tcPr>
          <w:p>
            <w:pPr>
              <w:jc w:val="left"/>
            </w:pPr>
            <w:r>
              <w:rPr>
                <w:rFonts w:ascii="Calibri" w:cs="Calibri" w:eastAsia="Calibri" w:hAnsi="Calibri"/>
                <w:b w:val="false"/>
                <w:bCs w:val="false"/>
                <w:sz w:val="20"/>
                <w:szCs w:val="20"/>
              </w:rPr>
              <w:t xml:space="preserve">Phương pháp nền, dùng làm mốc so sánh với các phương pháp phức tạp hơn.</w:t>
            </w:r>
          </w:p>
        </w:tc>
      </w:tr>
      <w:tr>
        <w:tc>
          <w:tcPr>
            <w:tcW w:type="dxa" w:w="2400"/>
          </w:tcPr>
          <w:p>
            <w:pPr>
              <w:jc w:val="left"/>
            </w:pPr>
            <w:r>
              <w:rPr>
                <w:rFonts w:ascii="Calibri" w:cs="Calibri" w:eastAsia="Calibri" w:hAnsi="Calibri"/>
                <w:b/>
                <w:bCs/>
                <w:sz w:val="20"/>
                <w:szCs w:val="20"/>
              </w:rPr>
              <w:t xml:space="preserve">inference</w:t>
            </w:r>
          </w:p>
        </w:tc>
        <w:tc>
          <w:tcPr>
            <w:tcW w:type="dxa" w:w="2000"/>
          </w:tcPr>
          <w:p>
            <w:pPr>
              <w:jc w:val="left"/>
            </w:pPr>
            <w:r>
              <w:rPr>
                <w:rFonts w:ascii="Calibri" w:cs="Calibri" w:eastAsia="Calibri" w:hAnsi="Calibri"/>
                <w:b w:val="false"/>
                <w:bCs w:val="false"/>
                <w:sz w:val="20"/>
                <w:szCs w:val="20"/>
              </w:rPr>
              <w:t xml:space="preserve">/ˈɪn.fər.əns/</w:t>
            </w:r>
          </w:p>
        </w:tc>
        <w:tc>
          <w:tcPr>
            <w:tcW w:type="dxa" w:w="5200"/>
          </w:tcPr>
          <w:p>
            <w:pPr>
              <w:jc w:val="left"/>
            </w:pPr>
            <w:r>
              <w:rPr>
                <w:rFonts w:ascii="Calibri" w:cs="Calibri" w:eastAsia="Calibri" w:hAnsi="Calibri"/>
                <w:b w:val="false"/>
                <w:bCs w:val="false"/>
                <w:sz w:val="20"/>
                <w:szCs w:val="20"/>
              </w:rPr>
              <w:t xml:space="preserve">Suy luận — quá trình dùng mô hình đã huấn luyện để dự đoán trên dữ liệu mới.</w:t>
            </w:r>
          </w:p>
        </w:tc>
      </w:tr>
    </w:tbl>
    <w:p>
      <w:pPr>
        <w:spacing w:after="200"/>
      </w:pPr>
    </w:p>
    <w:p>
      <w:pPr>
        <w:pStyle w:val="Heading1"/>
        <w:spacing w:after="150" w:before="300"/>
      </w:pPr>
      <w:r>
        <w:t xml:space="preserve">7. Tóm tắt</w:t>
      </w:r>
    </w:p>
    <w:p>
      <w:pPr>
        <w:spacing w:after="120"/>
      </w:pPr>
      <w:r>
        <w:rPr>
          <w:rFonts w:ascii="Calibri" w:cs="Calibri" w:eastAsia="Calibri" w:hAnsi="Calibri"/>
          <w:sz w:val="22"/>
          <w:szCs w:val="22"/>
        </w:rPr>
        <w:t xml:space="preserve">Quy trình đầy đủ gồm 3 nhóm phương pháp độc lập (giảm chiều, đặc trưng thủ công, deep learning), mỗi nhóm sinh ra file metrics.json riêng. Việc so sánh cuối cùng là tổng hợp các chỉ số Accuracy/Precision/Recall/F1 vào một bảng chung để thấy rõ mức độ cải thiện khi chuyển từ phương pháp cổ điển sang deep learning, đúng tinh thần của báo cáo gốc mà dự án tái hiện.</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2026-09-07T16:01:02.390Z</dcterms:created>
  <dcterms:modified xsi:type="dcterms:W3CDTF">2026-09-07T16:01:02.408Z</dcterms:modified>
</cp:coreProperties>
</file>

<file path=docProps/custom.xml><?xml version="1.0" encoding="utf-8"?>
<Properties xmlns="http://schemas.openxmlformats.org/officeDocument/2006/custom-properties" xmlns:vt="http://schemas.openxmlformats.org/officeDocument/2006/docPropsVTypes"/>
</file>