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595959"/>
          <w:sz w:val="30"/>
          <w:szCs w:val="30"/>
        </w:rPr>
        <w:t xml:space="preserve">ĐỀ CƯƠNG KIẾN THỨC</w:t>
      </w:r>
    </w:p>
    <w:p>
      <w:pPr>
        <w:spacing w:after="200" w:before="200"/>
        <w:jc w:val="center"/>
      </w:pPr>
      <w:r>
        <w:rPr>
          <w:b/>
          <w:bCs/>
          <w:color w:val="1F3864"/>
          <w:sz w:val="48"/>
          <w:szCs w:val="48"/>
        </w:rPr>
        <w:t xml:space="preserve">BẢO MẬT HỆ THỐNG THÔNG TIN</w:t>
      </w:r>
    </w:p>
    <w:p>
      <w:pPr>
        <w:spacing w:after="100"/>
        <w:jc w:val="center"/>
      </w:pPr>
      <w:r>
        <w:rPr>
          <w:i/>
          <w:iCs/>
          <w:color w:val="2E5EAA"/>
          <w:sz w:val="24"/>
          <w:szCs w:val="24"/>
        </w:rPr>
        <w:t xml:space="preserve">Tài liệu tổng hợp phục vụ học tập bậc Cao học</w:t>
      </w:r>
    </w:p>
    <w:p>
      <w:pPr>
        <w:spacing w:before="800"/>
        <w:jc w:val="center"/>
      </w:pPr>
      <w:r>
        <w:rPr>
          <w:color w:val="595959"/>
          <w:sz w:val="20"/>
          <w:szCs w:val="20"/>
        </w:rPr>
        <w:t xml:space="preserve">Information Systems Security — Graduate Study Guide</w:t>
      </w:r>
    </w:p>
    <w:p>
      <w:r>
        <w:br w:type="page"/>
      </w:r>
    </w:p>
    <w:p>
      <w:pPr>
        <w:pStyle w:val="Heading1"/>
        <w:spacing w:after="160" w:before="360"/>
      </w:pPr>
      <w:r>
        <w:rPr>
          <w:b/>
          <w:bCs/>
          <w:color w:val="1F3864"/>
          <w:sz w:val="30"/>
          <w:szCs w:val="30"/>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b/>
          <w:bCs/>
          <w:color w:val="1F3864"/>
          <w:sz w:val="30"/>
          <w:szCs w:val="30"/>
        </w:rPr>
        <w:t xml:space="preserve">1. TỔNG QUAN VỀ AN TOÀN, BẢO MẬT HỆ THỐNG THÔNG TIN</w:t>
      </w:r>
    </w:p>
    <w:p>
      <w:pPr>
        <w:pStyle w:val="Heading2"/>
        <w:spacing w:after="120" w:before="240"/>
      </w:pPr>
      <w:r>
        <w:rPr>
          <w:b/>
          <w:bCs/>
          <w:color w:val="2E5EAA"/>
          <w:sz w:val="26"/>
          <w:szCs w:val="26"/>
        </w:rPr>
        <w:t xml:space="preserve">1.1. Khái niệm cơ bản</w:t>
      </w:r>
    </w:p>
    <w:p>
      <w:pPr>
        <w:pStyle w:val="ListParagraph"/>
        <w:numPr>
          <w:ilvl w:val="0"/>
          <w:numId w:val="2"/>
        </w:numPr>
        <w:spacing w:after="60"/>
      </w:pPr>
      <w:r>
        <w:rPr>
          <w:sz w:val="22"/>
          <w:szCs w:val="22"/>
        </w:rPr>
        <w:t xml:space="preserve">An toàn thông tin (Information Security) vs An ninh mạng (Cybersecurity) vs Bảo mật hệ thống (System Security).</w:t>
      </w:r>
    </w:p>
    <w:p>
      <w:pPr>
        <w:pStyle w:val="ListParagraph"/>
        <w:numPr>
          <w:ilvl w:val="0"/>
          <w:numId w:val="2"/>
        </w:numPr>
        <w:spacing w:after="60"/>
      </w:pPr>
      <w:r>
        <w:rPr>
          <w:sz w:val="22"/>
          <w:szCs w:val="22"/>
        </w:rPr>
        <w:t xml:space="preserve">Tam giác CIA: Confidentiality (bí mật), Integrity (toàn vẹn), Availability (sẵn sàng).</w:t>
      </w:r>
    </w:p>
    <w:p>
      <w:pPr>
        <w:pStyle w:val="ListParagraph"/>
        <w:numPr>
          <w:ilvl w:val="0"/>
          <w:numId w:val="2"/>
        </w:numPr>
        <w:spacing w:after="60"/>
      </w:pPr>
      <w:r>
        <w:rPr>
          <w:sz w:val="22"/>
          <w:szCs w:val="22"/>
        </w:rPr>
        <w:t xml:space="preserve">Các thuộc tính mở rộng: Authenticity (xác thực), Non-repudiation (chống chối bỏ), Accountability (trách nhiệm giải trình).</w:t>
      </w:r>
    </w:p>
    <w:p>
      <w:pPr>
        <w:pStyle w:val="Heading2"/>
        <w:spacing w:after="120" w:before="240"/>
      </w:pPr>
      <w:r>
        <w:rPr>
          <w:b/>
          <w:bCs/>
          <w:color w:val="2E5EAA"/>
          <w:sz w:val="26"/>
          <w:szCs w:val="26"/>
        </w:rPr>
        <w:t xml:space="preserve">1.2. Các khái niệm nền tảng</w:t>
      </w:r>
    </w:p>
    <w:p>
      <w:pPr>
        <w:pStyle w:val="ListParagraph"/>
        <w:numPr>
          <w:ilvl w:val="0"/>
          <w:numId w:val="2"/>
        </w:numPr>
        <w:spacing w:after="60"/>
      </w:pPr>
      <w:r>
        <w:rPr>
          <w:sz w:val="22"/>
          <w:szCs w:val="22"/>
        </w:rPr>
        <w:t xml:space="preserve">Tài sản (Asset), Lỗ hổng (Vulnerability), Mối đe dọa (Threat), Rủi ro (Risk), Tấn công (Attack).</w:t>
      </w:r>
    </w:p>
    <w:p>
      <w:pPr>
        <w:pStyle w:val="ListParagraph"/>
        <w:numPr>
          <w:ilvl w:val="0"/>
          <w:numId w:val="2"/>
        </w:numPr>
        <w:spacing w:after="60"/>
      </w:pPr>
      <w:r>
        <w:rPr>
          <w:sz w:val="22"/>
          <w:szCs w:val="22"/>
        </w:rPr>
        <w:t xml:space="preserve">Tác nhân đe dọa (Threat actor): hacker mũ đen/mũ trắng, script kiddie, insider, APT (Advanced Persistent Threat), nhà nước (nation-state).</w:t>
      </w:r>
    </w:p>
    <w:p>
      <w:pPr>
        <w:pStyle w:val="ListParagraph"/>
        <w:numPr>
          <w:ilvl w:val="0"/>
          <w:numId w:val="2"/>
        </w:numPr>
        <w:spacing w:after="60"/>
      </w:pPr>
      <w:r>
        <w:rPr>
          <w:sz w:val="22"/>
          <w:szCs w:val="22"/>
        </w:rPr>
        <w:t xml:space="preserve">Mô hình phòng thủ theo chiều sâu (Defense in Depth), nguyên lý đặc quyền tối thiểu (Least Privilege), phân tách nhiệm vụ (Separation of Duties).</w:t>
      </w:r>
    </w:p>
    <w:p>
      <w:pPr>
        <w:pStyle w:val="Heading2"/>
        <w:spacing w:after="120" w:before="240"/>
      </w:pPr>
      <w:r>
        <w:rPr>
          <w:b/>
          <w:bCs/>
          <w:color w:val="2E5EAA"/>
          <w:sz w:val="26"/>
          <w:szCs w:val="26"/>
        </w:rPr>
        <w:t xml:space="preserve">1.3. Mô hình và khung tham chiếu</w:t>
      </w:r>
    </w:p>
    <w:p>
      <w:pPr>
        <w:pStyle w:val="ListParagraph"/>
        <w:numPr>
          <w:ilvl w:val="0"/>
          <w:numId w:val="2"/>
        </w:numPr>
        <w:spacing w:after="60"/>
      </w:pPr>
      <w:r>
        <w:rPr>
          <w:sz w:val="22"/>
          <w:szCs w:val="22"/>
        </w:rPr>
        <w:t xml:space="preserve">Mô hình OSI/TCP-IP và các lớp tấn công tương ứng.</w:t>
      </w:r>
    </w:p>
    <w:p>
      <w:pPr>
        <w:pStyle w:val="ListParagraph"/>
        <w:numPr>
          <w:ilvl w:val="0"/>
          <w:numId w:val="2"/>
        </w:numPr>
        <w:spacing w:after="60"/>
      </w:pPr>
      <w:r>
        <w:rPr>
          <w:sz w:val="22"/>
          <w:szCs w:val="22"/>
        </w:rPr>
        <w:t xml:space="preserve">Chu trình quản lý an toàn thông tin: Plan – Do – Check – Act (PDCA).</w:t>
      </w:r>
    </w:p>
    <w:p>
      <w:pPr>
        <w:pStyle w:val="ListParagraph"/>
        <w:numPr>
          <w:ilvl w:val="0"/>
          <w:numId w:val="2"/>
        </w:numPr>
        <w:spacing w:after="60"/>
      </w:pPr>
      <w:r>
        <w:rPr>
          <w:sz w:val="22"/>
          <w:szCs w:val="22"/>
        </w:rPr>
        <w:t xml:space="preserve">Các tiêu chuẩn quốc tế: ISO/IEC 27001, 27002, 27005; NIST SP 800-53, NIST Cybersecurity Framework (CSF); COBIT.</w:t>
      </w:r>
    </w:p>
    <w:p>
      <w:pPr>
        <w:pBdr>
          <w:left w:val="single" w:color="2E5EAA" w:sz="12" w:space="8"/>
        </w:pBdr>
        <w:shd w:fill="EDF2FA" w:val="clear"/>
        <w:spacing w:after="160"/>
      </w:pPr>
      <w:r>
        <w:rPr>
          <w:i/>
          <w:iCs/>
          <w:color w:val="31456A"/>
          <w:sz w:val="21"/>
          <w:szCs w:val="21"/>
        </w:rPr>
        <w:t xml:space="preserve">Lưu ý: Nhiều đề thi cao học yêu cầu phân biệt rõ CIA, giải thích ví dụ thực tế cho từng thuộc tính — nên chuẩn bị ví dụ minh họa cụ thể.</w:t>
      </w:r>
    </w:p>
    <w:p>
      <w:pPr>
        <w:pStyle w:val="Heading1"/>
        <w:spacing w:after="160" w:before="360"/>
      </w:pPr>
      <w:r>
        <w:rPr>
          <w:b/>
          <w:bCs/>
          <w:color w:val="1F3864"/>
          <w:sz w:val="30"/>
          <w:szCs w:val="30"/>
        </w:rPr>
        <w:t xml:space="preserve">2. MẬT MÃ HỌC (CRYPTOGRAPHY)</w:t>
      </w:r>
    </w:p>
    <w:p>
      <w:pPr>
        <w:pStyle w:val="Heading2"/>
        <w:spacing w:after="120" w:before="240"/>
      </w:pPr>
      <w:r>
        <w:rPr>
          <w:b/>
          <w:bCs/>
          <w:color w:val="2E5EAA"/>
          <w:sz w:val="26"/>
          <w:szCs w:val="26"/>
        </w:rPr>
        <w:t xml:space="preserve">2.1. Mật mã đối xứng (Symmetric Cryptography)</w:t>
      </w:r>
    </w:p>
    <w:p>
      <w:pPr>
        <w:pStyle w:val="ListParagraph"/>
        <w:numPr>
          <w:ilvl w:val="0"/>
          <w:numId w:val="2"/>
        </w:numPr>
        <w:spacing w:after="60"/>
      </w:pPr>
      <w:r>
        <w:rPr>
          <w:sz w:val="22"/>
          <w:szCs w:val="22"/>
        </w:rPr>
        <w:t xml:space="preserve">Nguyên lý: dùng chung một khóa cho mã hóa và giải mã.</w:t>
      </w:r>
    </w:p>
    <w:p>
      <w:pPr>
        <w:pStyle w:val="ListParagraph"/>
        <w:numPr>
          <w:ilvl w:val="0"/>
          <w:numId w:val="2"/>
        </w:numPr>
        <w:spacing w:after="60"/>
      </w:pPr>
      <w:r>
        <w:rPr>
          <w:sz w:val="22"/>
          <w:szCs w:val="22"/>
        </w:rPr>
        <w:t xml:space="preserve">Thuật toán tiêu biểu: DES, 3DES, AES (128/192/256-bit), RC4, ChaCha20.</w:t>
      </w:r>
    </w:p>
    <w:p>
      <w:pPr>
        <w:pStyle w:val="ListParagraph"/>
        <w:numPr>
          <w:ilvl w:val="0"/>
          <w:numId w:val="2"/>
        </w:numPr>
        <w:spacing w:after="60"/>
      </w:pPr>
      <w:r>
        <w:rPr>
          <w:sz w:val="22"/>
          <w:szCs w:val="22"/>
        </w:rPr>
        <w:t xml:space="preserve">Chế độ hoạt động của block cipher: ECB, CBC, CFB, OFB, CTR, GCM.</w:t>
      </w:r>
    </w:p>
    <w:p>
      <w:pPr>
        <w:pStyle w:val="ListParagraph"/>
        <w:numPr>
          <w:ilvl w:val="0"/>
          <w:numId w:val="2"/>
        </w:numPr>
        <w:spacing w:after="60"/>
      </w:pPr>
      <w:r>
        <w:rPr>
          <w:sz w:val="22"/>
          <w:szCs w:val="22"/>
        </w:rPr>
        <w:t xml:space="preserve">Ưu điểm: tốc độ nhanh. Hạn chế: bài toán trao đổi khóa, không chống chối bỏ.</w:t>
      </w:r>
    </w:p>
    <w:p>
      <w:pPr>
        <w:pStyle w:val="Heading2"/>
        <w:spacing w:after="120" w:before="240"/>
      </w:pPr>
      <w:r>
        <w:rPr>
          <w:b/>
          <w:bCs/>
          <w:color w:val="2E5EAA"/>
          <w:sz w:val="26"/>
          <w:szCs w:val="26"/>
        </w:rPr>
        <w:t xml:space="preserve">2.2. Mật mã bất đối xứng (Asymmetric / Public-key Cryptography)</w:t>
      </w:r>
    </w:p>
    <w:p>
      <w:pPr>
        <w:pStyle w:val="ListParagraph"/>
        <w:numPr>
          <w:ilvl w:val="0"/>
          <w:numId w:val="2"/>
        </w:numPr>
        <w:spacing w:after="60"/>
      </w:pPr>
      <w:r>
        <w:rPr>
          <w:sz w:val="22"/>
          <w:szCs w:val="22"/>
        </w:rPr>
        <w:t xml:space="preserve">Nguyên lý: cặp khóa công khai – khóa bí mật.</w:t>
      </w:r>
    </w:p>
    <w:p>
      <w:pPr>
        <w:pStyle w:val="ListParagraph"/>
        <w:numPr>
          <w:ilvl w:val="0"/>
          <w:numId w:val="2"/>
        </w:numPr>
        <w:spacing w:after="60"/>
      </w:pPr>
      <w:r>
        <w:rPr>
          <w:sz w:val="22"/>
          <w:szCs w:val="22"/>
        </w:rPr>
        <w:t xml:space="preserve">Thuật toán tiêu biểu: RSA, Diffie-Hellman (trao đổi khóa), ElGamal, ECC (Elliptic Curve Cryptography).</w:t>
      </w:r>
    </w:p>
    <w:p>
      <w:pPr>
        <w:pStyle w:val="ListParagraph"/>
        <w:numPr>
          <w:ilvl w:val="0"/>
          <w:numId w:val="2"/>
        </w:numPr>
        <w:spacing w:after="60"/>
      </w:pPr>
      <w:r>
        <w:rPr>
          <w:sz w:val="22"/>
          <w:szCs w:val="22"/>
        </w:rPr>
        <w:t xml:space="preserve">Ứng dụng: trao đổi khóa, chữ ký số, hạ tầng khóa công khai (PKI).</w:t>
      </w:r>
    </w:p>
    <w:p>
      <w:pPr>
        <w:pStyle w:val="Heading2"/>
        <w:spacing w:after="120" w:before="240"/>
      </w:pPr>
      <w:r>
        <w:rPr>
          <w:b/>
          <w:bCs/>
          <w:color w:val="2E5EAA"/>
          <w:sz w:val="26"/>
          <w:szCs w:val="26"/>
        </w:rPr>
        <w:t xml:space="preserve">2.3. Hàm băm (Hash Function) và Chữ ký số</w:t>
      </w:r>
    </w:p>
    <w:p>
      <w:pPr>
        <w:pStyle w:val="ListParagraph"/>
        <w:numPr>
          <w:ilvl w:val="0"/>
          <w:numId w:val="2"/>
        </w:numPr>
        <w:spacing w:after="60"/>
      </w:pPr>
      <w:r>
        <w:rPr>
          <w:sz w:val="22"/>
          <w:szCs w:val="22"/>
        </w:rPr>
        <w:t xml:space="preserve">Đặc tính: tính một chiều, kháng va chạm (collision resistance).</w:t>
      </w:r>
    </w:p>
    <w:p>
      <w:pPr>
        <w:pStyle w:val="ListParagraph"/>
        <w:numPr>
          <w:ilvl w:val="0"/>
          <w:numId w:val="2"/>
        </w:numPr>
        <w:spacing w:after="60"/>
      </w:pPr>
      <w:r>
        <w:rPr>
          <w:sz w:val="22"/>
          <w:szCs w:val="22"/>
        </w:rPr>
        <w:t xml:space="preserve">Thuật toán: MD5 (đã lỗi thời), SHA-1 (không an toàn), họ SHA-2 (SHA-256, SHA-512), SHA-3.</w:t>
      </w:r>
    </w:p>
    <w:p>
      <w:pPr>
        <w:pStyle w:val="ListParagraph"/>
        <w:numPr>
          <w:ilvl w:val="0"/>
          <w:numId w:val="2"/>
        </w:numPr>
        <w:spacing w:after="60"/>
      </w:pPr>
      <w:r>
        <w:rPr>
          <w:sz w:val="22"/>
          <w:szCs w:val="22"/>
        </w:rPr>
        <w:t xml:space="preserve">HMAC – mã xác thực thông điệp dựa trên hàm băm.</w:t>
      </w:r>
    </w:p>
    <w:p>
      <w:pPr>
        <w:pStyle w:val="ListParagraph"/>
        <w:numPr>
          <w:ilvl w:val="0"/>
          <w:numId w:val="2"/>
        </w:numPr>
        <w:spacing w:after="60"/>
      </w:pPr>
      <w:r>
        <w:rPr>
          <w:sz w:val="22"/>
          <w:szCs w:val="22"/>
        </w:rPr>
        <w:t xml:space="preserve">Chữ ký số: quy trình ký và xác minh, vai trò trong chống chối bỏ và xác thực nguồn gốc.</w:t>
      </w:r>
    </w:p>
    <w:p>
      <w:pPr>
        <w:pStyle w:val="Heading2"/>
        <w:spacing w:after="120" w:before="240"/>
      </w:pPr>
      <w:r>
        <w:rPr>
          <w:b/>
          <w:bCs/>
          <w:color w:val="2E5EAA"/>
          <w:sz w:val="26"/>
          <w:szCs w:val="26"/>
        </w:rPr>
        <w:t xml:space="preserve">2.4. Hạ tầng khóa công khai (PKI)</w:t>
      </w:r>
    </w:p>
    <w:p>
      <w:pPr>
        <w:pStyle w:val="ListParagraph"/>
        <w:numPr>
          <w:ilvl w:val="0"/>
          <w:numId w:val="2"/>
        </w:numPr>
        <w:spacing w:after="60"/>
      </w:pPr>
      <w:r>
        <w:rPr>
          <w:sz w:val="22"/>
          <w:szCs w:val="22"/>
        </w:rPr>
        <w:t xml:space="preserve">Thành phần: CA (Certificate Authority), RA (Registration Authority), chứng chỉ số X.509.</w:t>
      </w:r>
    </w:p>
    <w:p>
      <w:pPr>
        <w:pStyle w:val="ListParagraph"/>
        <w:numPr>
          <w:ilvl w:val="0"/>
          <w:numId w:val="2"/>
        </w:numPr>
        <w:spacing w:after="60"/>
      </w:pPr>
      <w:r>
        <w:rPr>
          <w:sz w:val="22"/>
          <w:szCs w:val="22"/>
        </w:rPr>
        <w:t xml:space="preserve">Quy trình cấp phát, thu hồi chứng chỉ (CRL, OCSP).</w:t>
      </w:r>
    </w:p>
    <w:p>
      <w:pPr>
        <w:pStyle w:val="ListParagraph"/>
        <w:numPr>
          <w:ilvl w:val="0"/>
          <w:numId w:val="2"/>
        </w:numPr>
        <w:spacing w:after="60"/>
      </w:pPr>
      <w:r>
        <w:rPr>
          <w:sz w:val="22"/>
          <w:szCs w:val="22"/>
        </w:rPr>
        <w:t xml:space="preserve">Giao thức ứng dụng PKI: TLS/SSL, S/MIME.</w:t>
      </w:r>
    </w:p>
    <w:p>
      <w:pPr>
        <w:pStyle w:val="Heading2"/>
        <w:spacing w:after="120" w:before="240"/>
      </w:pPr>
      <w:r>
        <w:rPr>
          <w:b/>
          <w:bCs/>
          <w:color w:val="2E5EAA"/>
          <w:sz w:val="26"/>
          <w:szCs w:val="26"/>
        </w:rPr>
        <w:t xml:space="preserve">2.5. Các chủ đề nâng cao</w:t>
      </w:r>
    </w:p>
    <w:p>
      <w:pPr>
        <w:pStyle w:val="ListParagraph"/>
        <w:numPr>
          <w:ilvl w:val="0"/>
          <w:numId w:val="2"/>
        </w:numPr>
        <w:spacing w:after="60"/>
      </w:pPr>
      <w:r>
        <w:rPr>
          <w:sz w:val="22"/>
          <w:szCs w:val="22"/>
        </w:rPr>
        <w:t xml:space="preserve">Mật mã hậu lượng tử (Post-quantum cryptography) — xu hướng do máy tính lượng tử.</w:t>
      </w:r>
    </w:p>
    <w:p>
      <w:pPr>
        <w:pStyle w:val="ListParagraph"/>
        <w:numPr>
          <w:ilvl w:val="0"/>
          <w:numId w:val="2"/>
        </w:numPr>
        <w:spacing w:after="60"/>
      </w:pPr>
      <w:r>
        <w:rPr>
          <w:sz w:val="22"/>
          <w:szCs w:val="22"/>
        </w:rPr>
        <w:t xml:space="preserve">Quản lý khóa (Key Management Lifecycle): sinh, phân phối, lưu trữ, xoay vòng, hủy khóa.</w:t>
      </w:r>
    </w:p>
    <w:p>
      <w:pPr>
        <w:pStyle w:val="ListParagraph"/>
        <w:numPr>
          <w:ilvl w:val="0"/>
          <w:numId w:val="2"/>
        </w:numPr>
        <w:spacing w:after="60"/>
      </w:pPr>
      <w:r>
        <w:rPr>
          <w:sz w:val="22"/>
          <w:szCs w:val="22"/>
        </w:rPr>
        <w:t xml:space="preserve">Tấn công vào mật mã: brute-force, side-channel, birthday attack, padding oracle.</w:t>
      </w:r>
    </w:p>
    <w:p>
      <w:pPr>
        <w:pStyle w:val="Heading1"/>
        <w:spacing w:after="160" w:before="360"/>
      </w:pPr>
      <w:r>
        <w:rPr>
          <w:b/>
          <w:bCs/>
          <w:color w:val="1F3864"/>
          <w:sz w:val="30"/>
          <w:szCs w:val="30"/>
        </w:rPr>
        <w:t xml:space="preserve">3. XÁC THỰC VÀ KIỂM SOÁT TRUY CẬP</w:t>
      </w:r>
    </w:p>
    <w:p>
      <w:pPr>
        <w:pStyle w:val="Heading2"/>
        <w:spacing w:after="120" w:before="240"/>
      </w:pPr>
      <w:r>
        <w:rPr>
          <w:b/>
          <w:bCs/>
          <w:color w:val="2E5EAA"/>
          <w:sz w:val="26"/>
          <w:szCs w:val="26"/>
        </w:rPr>
        <w:t xml:space="preserve">3.1. Xác thực (Authentication)</w:t>
      </w:r>
    </w:p>
    <w:p>
      <w:pPr>
        <w:pStyle w:val="ListParagraph"/>
        <w:numPr>
          <w:ilvl w:val="0"/>
          <w:numId w:val="2"/>
        </w:numPr>
        <w:spacing w:after="60"/>
      </w:pPr>
      <w:r>
        <w:rPr>
          <w:sz w:val="22"/>
          <w:szCs w:val="22"/>
        </w:rPr>
        <w:t xml:space="preserve">Các yếu tố xác thực: Something you know (mật khẩu), Something you have (token/thẻ), Something you are (sinh trắc học).</w:t>
      </w:r>
    </w:p>
    <w:p>
      <w:pPr>
        <w:pStyle w:val="ListParagraph"/>
        <w:numPr>
          <w:ilvl w:val="0"/>
          <w:numId w:val="2"/>
        </w:numPr>
        <w:spacing w:after="60"/>
      </w:pPr>
      <w:r>
        <w:rPr>
          <w:sz w:val="22"/>
          <w:szCs w:val="22"/>
        </w:rPr>
        <w:t xml:space="preserve">Xác thực đa yếu tố (MFA/2FA): OTP, TOTP, U2F/FIDO2.</w:t>
      </w:r>
    </w:p>
    <w:p>
      <w:pPr>
        <w:pStyle w:val="ListParagraph"/>
        <w:numPr>
          <w:ilvl w:val="0"/>
          <w:numId w:val="2"/>
        </w:numPr>
        <w:spacing w:after="60"/>
      </w:pPr>
      <w:r>
        <w:rPr>
          <w:sz w:val="22"/>
          <w:szCs w:val="22"/>
        </w:rPr>
        <w:t xml:space="preserve">Giao thức: Kerberos, RADIUS, LDAP, SAML, OAuth 2.0, OpenID Connect, Single Sign-On (SSO).</w:t>
      </w:r>
    </w:p>
    <w:p>
      <w:pPr>
        <w:pStyle w:val="Heading2"/>
        <w:spacing w:after="120" w:before="240"/>
      </w:pPr>
      <w:r>
        <w:rPr>
          <w:b/>
          <w:bCs/>
          <w:color w:val="2E5EAA"/>
          <w:sz w:val="26"/>
          <w:szCs w:val="26"/>
        </w:rPr>
        <w:t xml:space="preserve">3.2. Kiểm soát truy cập (Access Control)</w:t>
      </w:r>
    </w:p>
    <w:p>
      <w:pPr>
        <w:pStyle w:val="ListParagraph"/>
        <w:numPr>
          <w:ilvl w:val="0"/>
          <w:numId w:val="2"/>
        </w:numPr>
        <w:spacing w:after="60"/>
      </w:pPr>
      <w:r>
        <w:rPr>
          <w:sz w:val="22"/>
          <w:szCs w:val="22"/>
        </w:rPr>
        <w:t xml:space="preserve">Mô hình DAC (Discretionary Access Control) – chủ sở hữu tự quyết định quyền.</w:t>
      </w:r>
    </w:p>
    <w:p>
      <w:pPr>
        <w:pStyle w:val="ListParagraph"/>
        <w:numPr>
          <w:ilvl w:val="0"/>
          <w:numId w:val="2"/>
        </w:numPr>
        <w:spacing w:after="60"/>
      </w:pPr>
      <w:r>
        <w:rPr>
          <w:sz w:val="22"/>
          <w:szCs w:val="22"/>
        </w:rPr>
        <w:t xml:space="preserve">Mô hình MAC (Mandatory Access Control) – gán nhãn an toàn (Bell-LaPadula, Biba).</w:t>
      </w:r>
    </w:p>
    <w:p>
      <w:pPr>
        <w:pStyle w:val="ListParagraph"/>
        <w:numPr>
          <w:ilvl w:val="0"/>
          <w:numId w:val="2"/>
        </w:numPr>
        <w:spacing w:after="60"/>
      </w:pPr>
      <w:r>
        <w:rPr>
          <w:sz w:val="22"/>
          <w:szCs w:val="22"/>
        </w:rPr>
        <w:t xml:space="preserve">Mô hình RBAC (Role-Based Access Control) – phân quyền theo vai trò.</w:t>
      </w:r>
    </w:p>
    <w:p>
      <w:pPr>
        <w:pStyle w:val="ListParagraph"/>
        <w:numPr>
          <w:ilvl w:val="0"/>
          <w:numId w:val="2"/>
        </w:numPr>
        <w:spacing w:after="60"/>
      </w:pPr>
      <w:r>
        <w:rPr>
          <w:sz w:val="22"/>
          <w:szCs w:val="22"/>
        </w:rPr>
        <w:t xml:space="preserve">Mô hình ABAC (Attribute-Based Access Control) – phân quyền theo thuộc tính.</w:t>
      </w:r>
    </w:p>
    <w:p>
      <w:pPr>
        <w:pStyle w:val="ListParagraph"/>
        <w:numPr>
          <w:ilvl w:val="0"/>
          <w:numId w:val="2"/>
        </w:numPr>
        <w:spacing w:after="60"/>
      </w:pPr>
      <w:r>
        <w:rPr>
          <w:sz w:val="22"/>
          <w:szCs w:val="22"/>
        </w:rPr>
        <w:t xml:space="preserve">Ma trận kiểm soát truy cập (Access Control Matrix), ACL.</w:t>
      </w:r>
    </w:p>
    <w:p>
      <w:pPr>
        <w:pStyle w:val="Heading2"/>
        <w:spacing w:after="120" w:before="240"/>
      </w:pPr>
      <w:r>
        <w:rPr>
          <w:b/>
          <w:bCs/>
          <w:color w:val="2E5EAA"/>
          <w:sz w:val="26"/>
          <w:szCs w:val="26"/>
        </w:rPr>
        <w:t xml:space="preserve">3.3. Quản lý danh tính (Identity &amp; Access Management – IAM)</w:t>
      </w:r>
    </w:p>
    <w:p>
      <w:pPr>
        <w:pStyle w:val="ListParagraph"/>
        <w:numPr>
          <w:ilvl w:val="0"/>
          <w:numId w:val="2"/>
        </w:numPr>
        <w:spacing w:after="60"/>
      </w:pPr>
      <w:r>
        <w:rPr>
          <w:sz w:val="22"/>
          <w:szCs w:val="22"/>
        </w:rPr>
        <w:t xml:space="preserve">Vòng đời tài khoản: provisioning, review, de-provisioning.</w:t>
      </w:r>
    </w:p>
    <w:p>
      <w:pPr>
        <w:pStyle w:val="ListParagraph"/>
        <w:numPr>
          <w:ilvl w:val="0"/>
          <w:numId w:val="2"/>
        </w:numPr>
        <w:spacing w:after="60"/>
      </w:pPr>
      <w:r>
        <w:rPr>
          <w:sz w:val="22"/>
          <w:szCs w:val="22"/>
        </w:rPr>
        <w:t xml:space="preserve">Nguyên tắc Zero Trust: 'never trust, always verify'.</w:t>
      </w:r>
    </w:p>
    <w:p>
      <w:pPr>
        <w:pStyle w:val="Heading1"/>
        <w:spacing w:after="160" w:before="360"/>
      </w:pPr>
      <w:r>
        <w:rPr>
          <w:b/>
          <w:bCs/>
          <w:color w:val="1F3864"/>
          <w:sz w:val="30"/>
          <w:szCs w:val="30"/>
        </w:rPr>
        <w:t xml:space="preserve">4. AN TOÀN MẠNG (NETWORK SECURITY)</w:t>
      </w:r>
    </w:p>
    <w:p>
      <w:pPr>
        <w:pStyle w:val="Heading2"/>
        <w:spacing w:after="120" w:before="240"/>
      </w:pPr>
      <w:r>
        <w:rPr>
          <w:b/>
          <w:bCs/>
          <w:color w:val="2E5EAA"/>
          <w:sz w:val="26"/>
          <w:szCs w:val="26"/>
        </w:rPr>
        <w:t xml:space="preserve">4.1. Thiết bị và cơ chế phòng thủ</w:t>
      </w:r>
    </w:p>
    <w:p>
      <w:pPr>
        <w:pStyle w:val="ListParagraph"/>
        <w:numPr>
          <w:ilvl w:val="0"/>
          <w:numId w:val="2"/>
        </w:numPr>
        <w:spacing w:after="60"/>
      </w:pPr>
      <w:r>
        <w:rPr>
          <w:sz w:val="22"/>
          <w:szCs w:val="22"/>
        </w:rPr>
        <w:t xml:space="preserve">Tường lửa (Firewall): packet-filtering, stateful, proxy, next-generation firewall (NGFW).</w:t>
      </w:r>
    </w:p>
    <w:p>
      <w:pPr>
        <w:pStyle w:val="ListParagraph"/>
        <w:numPr>
          <w:ilvl w:val="0"/>
          <w:numId w:val="2"/>
        </w:numPr>
        <w:spacing w:after="60"/>
      </w:pPr>
      <w:r>
        <w:rPr>
          <w:sz w:val="22"/>
          <w:szCs w:val="22"/>
        </w:rPr>
        <w:t xml:space="preserve">Hệ thống phát hiện/ngăn chặn xâm nhập: IDS (signature-based, anomaly-based) và IPS.</w:t>
      </w:r>
    </w:p>
    <w:p>
      <w:pPr>
        <w:pStyle w:val="ListParagraph"/>
        <w:numPr>
          <w:ilvl w:val="0"/>
          <w:numId w:val="2"/>
        </w:numPr>
        <w:spacing w:after="60"/>
      </w:pPr>
      <w:r>
        <w:rPr>
          <w:sz w:val="22"/>
          <w:szCs w:val="22"/>
        </w:rPr>
        <w:t xml:space="preserve">Mạng riêng ảo (VPN): IPSec, SSL/TLS VPN.</w:t>
      </w:r>
    </w:p>
    <w:p>
      <w:pPr>
        <w:pStyle w:val="ListParagraph"/>
        <w:numPr>
          <w:ilvl w:val="0"/>
          <w:numId w:val="2"/>
        </w:numPr>
        <w:spacing w:after="60"/>
      </w:pPr>
      <w:r>
        <w:rPr>
          <w:sz w:val="22"/>
          <w:szCs w:val="22"/>
        </w:rPr>
        <w:t xml:space="preserve">Honeypot, DMZ (vùng phi quân sự mạng).</w:t>
      </w:r>
    </w:p>
    <w:p>
      <w:pPr>
        <w:pStyle w:val="Heading2"/>
        <w:spacing w:after="120" w:before="240"/>
      </w:pPr>
      <w:r>
        <w:rPr>
          <w:b/>
          <w:bCs/>
          <w:color w:val="2E5EAA"/>
          <w:sz w:val="26"/>
          <w:szCs w:val="26"/>
        </w:rPr>
        <w:t xml:space="preserve">4.2. Giao thức an toàn</w:t>
      </w:r>
    </w:p>
    <w:p>
      <w:pPr>
        <w:pStyle w:val="ListParagraph"/>
        <w:numPr>
          <w:ilvl w:val="0"/>
          <w:numId w:val="2"/>
        </w:numPr>
        <w:spacing w:after="60"/>
      </w:pPr>
      <w:r>
        <w:rPr>
          <w:sz w:val="22"/>
          <w:szCs w:val="22"/>
        </w:rPr>
        <w:t xml:space="preserve">SSL/TLS (handshake, cipher suite), HTTPS.</w:t>
      </w:r>
    </w:p>
    <w:p>
      <w:pPr>
        <w:pStyle w:val="ListParagraph"/>
        <w:numPr>
          <w:ilvl w:val="0"/>
          <w:numId w:val="2"/>
        </w:numPr>
        <w:spacing w:after="60"/>
      </w:pPr>
      <w:r>
        <w:rPr>
          <w:sz w:val="22"/>
          <w:szCs w:val="22"/>
        </w:rPr>
        <w:t xml:space="preserve">SSH, SFTP, IPSec (AH, ESP), DNSSEC.</w:t>
      </w:r>
    </w:p>
    <w:p>
      <w:pPr>
        <w:pStyle w:val="Heading2"/>
        <w:spacing w:after="120" w:before="240"/>
      </w:pPr>
      <w:r>
        <w:rPr>
          <w:b/>
          <w:bCs/>
          <w:color w:val="2E5EAA"/>
          <w:sz w:val="26"/>
          <w:szCs w:val="26"/>
        </w:rPr>
        <w:t xml:space="preserve">4.3. Tấn công mạng phổ biến</w:t>
      </w:r>
    </w:p>
    <w:p>
      <w:pPr>
        <w:pStyle w:val="ListParagraph"/>
        <w:numPr>
          <w:ilvl w:val="0"/>
          <w:numId w:val="2"/>
        </w:numPr>
        <w:spacing w:after="60"/>
      </w:pPr>
      <w:r>
        <w:rPr>
          <w:sz w:val="22"/>
          <w:szCs w:val="22"/>
        </w:rPr>
        <w:t xml:space="preserve">Nghe lén (sniffing), giả mạo ARP/DNS (spoofing), man-in-the-middle (MITM).</w:t>
      </w:r>
    </w:p>
    <w:p>
      <w:pPr>
        <w:pStyle w:val="ListParagraph"/>
        <w:numPr>
          <w:ilvl w:val="0"/>
          <w:numId w:val="2"/>
        </w:numPr>
        <w:spacing w:after="60"/>
      </w:pPr>
      <w:r>
        <w:rPr>
          <w:sz w:val="22"/>
          <w:szCs w:val="22"/>
        </w:rPr>
        <w:t xml:space="preserve">Từ chối dịch vụ: DoS, DDoS (volumetric, protocol, application-layer).</w:t>
      </w:r>
    </w:p>
    <w:p>
      <w:pPr>
        <w:pStyle w:val="ListParagraph"/>
        <w:numPr>
          <w:ilvl w:val="0"/>
          <w:numId w:val="2"/>
        </w:numPr>
        <w:spacing w:after="60"/>
      </w:pPr>
      <w:r>
        <w:rPr>
          <w:sz w:val="22"/>
          <w:szCs w:val="22"/>
        </w:rPr>
        <w:t xml:space="preserve">Quét cổng, quét lỗ hổng (port scanning, vulnerability scanning).</w:t>
      </w:r>
    </w:p>
    <w:p>
      <w:pPr>
        <w:pStyle w:val="ListParagraph"/>
        <w:numPr>
          <w:ilvl w:val="0"/>
          <w:numId w:val="2"/>
        </w:numPr>
        <w:spacing w:after="60"/>
      </w:pPr>
      <w:r>
        <w:rPr>
          <w:sz w:val="22"/>
          <w:szCs w:val="22"/>
        </w:rPr>
        <w:t xml:space="preserve">Session hijacking, VLAN hopping.</w:t>
      </w:r>
    </w:p>
    <w:p>
      <w:pPr>
        <w:pStyle w:val="Heading1"/>
        <w:spacing w:after="160" w:before="360"/>
      </w:pPr>
      <w:r>
        <w:rPr>
          <w:b/>
          <w:bCs/>
          <w:color w:val="1F3864"/>
          <w:sz w:val="30"/>
          <w:szCs w:val="30"/>
        </w:rPr>
        <w:t xml:space="preserve">5. AN TOÀN HỆ ĐIỀU HÀNH VÀ PHẦN MỀM ĐỘC HẠI</w:t>
      </w:r>
    </w:p>
    <w:p>
      <w:pPr>
        <w:pStyle w:val="Heading2"/>
        <w:spacing w:after="120" w:before="240"/>
      </w:pPr>
      <w:r>
        <w:rPr>
          <w:b/>
          <w:bCs/>
          <w:color w:val="2E5EAA"/>
          <w:sz w:val="26"/>
          <w:szCs w:val="26"/>
        </w:rPr>
        <w:t xml:space="preserve">5.1. An toàn hệ điều hành</w:t>
      </w:r>
    </w:p>
    <w:p>
      <w:pPr>
        <w:pStyle w:val="ListParagraph"/>
        <w:numPr>
          <w:ilvl w:val="0"/>
          <w:numId w:val="2"/>
        </w:numPr>
        <w:spacing w:after="60"/>
      </w:pPr>
      <w:r>
        <w:rPr>
          <w:sz w:val="22"/>
          <w:szCs w:val="22"/>
        </w:rPr>
        <w:t xml:space="preserve">Cơ chế bảo vệ: phân quyền người dùng, sandboxing, ASLR, DEP.</w:t>
      </w:r>
    </w:p>
    <w:p>
      <w:pPr>
        <w:pStyle w:val="ListParagraph"/>
        <w:numPr>
          <w:ilvl w:val="0"/>
          <w:numId w:val="2"/>
        </w:numPr>
        <w:spacing w:after="60"/>
      </w:pPr>
      <w:r>
        <w:rPr>
          <w:sz w:val="22"/>
          <w:szCs w:val="22"/>
        </w:rPr>
        <w:t xml:space="preserve">Hardening hệ thống: tắt dịch vụ không cần thiết, cập nhật bản vá (patch management).</w:t>
      </w:r>
    </w:p>
    <w:p>
      <w:pPr>
        <w:pStyle w:val="Heading2"/>
        <w:spacing w:after="120" w:before="240"/>
      </w:pPr>
      <w:r>
        <w:rPr>
          <w:b/>
          <w:bCs/>
          <w:color w:val="2E5EAA"/>
          <w:sz w:val="26"/>
          <w:szCs w:val="26"/>
        </w:rPr>
        <w:t xml:space="preserve">5.2. Phần mềm độc hại (Malware)</w:t>
      </w:r>
    </w:p>
    <w:p>
      <w:pPr>
        <w:pStyle w:val="ListParagraph"/>
        <w:numPr>
          <w:ilvl w:val="0"/>
          <w:numId w:val="2"/>
        </w:numPr>
        <w:spacing w:after="60"/>
      </w:pPr>
      <w:r>
        <w:rPr>
          <w:sz w:val="22"/>
          <w:szCs w:val="22"/>
        </w:rPr>
        <w:t xml:space="preserve">Phân loại: virus, worm, trojan, ransomware, spyware, rootkit, botnet.</w:t>
      </w:r>
    </w:p>
    <w:p>
      <w:pPr>
        <w:pStyle w:val="ListParagraph"/>
        <w:numPr>
          <w:ilvl w:val="0"/>
          <w:numId w:val="2"/>
        </w:numPr>
        <w:spacing w:after="60"/>
      </w:pPr>
      <w:r>
        <w:rPr>
          <w:sz w:val="22"/>
          <w:szCs w:val="22"/>
        </w:rPr>
        <w:t xml:space="preserve">Kỹ thuật lây nhiễm và ẩn mình: polymorphic, fileless malware.</w:t>
      </w:r>
    </w:p>
    <w:p>
      <w:pPr>
        <w:pStyle w:val="ListParagraph"/>
        <w:numPr>
          <w:ilvl w:val="0"/>
          <w:numId w:val="2"/>
        </w:numPr>
        <w:spacing w:after="60"/>
      </w:pPr>
      <w:r>
        <w:rPr>
          <w:sz w:val="22"/>
          <w:szCs w:val="22"/>
        </w:rPr>
        <w:t xml:space="preserve">Công cụ phòng chống: antivirus, EDR (Endpoint Detection and Response).</w:t>
      </w:r>
    </w:p>
    <w:p>
      <w:pPr>
        <w:pStyle w:val="Heading2"/>
        <w:spacing w:after="120" w:before="240"/>
      </w:pPr>
      <w:r>
        <w:rPr>
          <w:b/>
          <w:bCs/>
          <w:color w:val="2E5EAA"/>
          <w:sz w:val="26"/>
          <w:szCs w:val="26"/>
        </w:rPr>
        <w:t xml:space="preserve">5.3. Kỹ nghệ xã hội (Social Engineering)</w:t>
      </w:r>
    </w:p>
    <w:p>
      <w:pPr>
        <w:pStyle w:val="ListParagraph"/>
        <w:numPr>
          <w:ilvl w:val="0"/>
          <w:numId w:val="2"/>
        </w:numPr>
        <w:spacing w:after="60"/>
      </w:pPr>
      <w:r>
        <w:rPr>
          <w:sz w:val="22"/>
          <w:szCs w:val="22"/>
        </w:rPr>
        <w:t xml:space="preserve">Phishing, spear-phishing, vishing, smishing, baiting, pretexting.</w:t>
      </w:r>
    </w:p>
    <w:p>
      <w:pPr>
        <w:pStyle w:val="ListParagraph"/>
        <w:numPr>
          <w:ilvl w:val="0"/>
          <w:numId w:val="2"/>
        </w:numPr>
        <w:spacing w:after="60"/>
      </w:pPr>
      <w:r>
        <w:rPr>
          <w:sz w:val="22"/>
          <w:szCs w:val="22"/>
        </w:rPr>
        <w:t xml:space="preserve">Biện pháp phòng ngừa: đào tạo nhận thức an toàn thông tin (security awareness training).</w:t>
      </w:r>
    </w:p>
    <w:p>
      <w:pPr>
        <w:pStyle w:val="Heading1"/>
        <w:spacing w:after="160" w:before="360"/>
      </w:pPr>
      <w:r>
        <w:rPr>
          <w:b/>
          <w:bCs/>
          <w:color w:val="1F3864"/>
          <w:sz w:val="30"/>
          <w:szCs w:val="30"/>
        </w:rPr>
        <w:t xml:space="preserve">6. AN TOÀN ỨNG DỤNG VÀ CƠ SỞ DỮ LIỆU</w:t>
      </w:r>
    </w:p>
    <w:p>
      <w:pPr>
        <w:pStyle w:val="Heading2"/>
        <w:spacing w:after="120" w:before="240"/>
      </w:pPr>
      <w:r>
        <w:rPr>
          <w:b/>
          <w:bCs/>
          <w:color w:val="2E5EAA"/>
          <w:sz w:val="26"/>
          <w:szCs w:val="26"/>
        </w:rPr>
        <w:t xml:space="preserve">6.1. An toàn ứng dụng web</w:t>
      </w:r>
    </w:p>
    <w:p>
      <w:pPr>
        <w:pStyle w:val="ListParagraph"/>
        <w:numPr>
          <w:ilvl w:val="0"/>
          <w:numId w:val="2"/>
        </w:numPr>
        <w:spacing w:after="60"/>
      </w:pPr>
      <w:r>
        <w:rPr>
          <w:sz w:val="22"/>
          <w:szCs w:val="22"/>
        </w:rPr>
        <w:t xml:space="preserve">OWASP Top 10: SQL Injection, XSS, CSRF, Broken Authentication, Security Misconfiguration, Insecure Deserialization...</w:t>
      </w:r>
    </w:p>
    <w:p>
      <w:pPr>
        <w:pStyle w:val="ListParagraph"/>
        <w:numPr>
          <w:ilvl w:val="0"/>
          <w:numId w:val="2"/>
        </w:numPr>
        <w:spacing w:after="60"/>
      </w:pPr>
      <w:r>
        <w:rPr>
          <w:sz w:val="22"/>
          <w:szCs w:val="22"/>
        </w:rPr>
        <w:t xml:space="preserve">Kiểm thử an toàn: SAST, DAST, penetration testing.</w:t>
      </w:r>
    </w:p>
    <w:p>
      <w:pPr>
        <w:pStyle w:val="ListParagraph"/>
        <w:numPr>
          <w:ilvl w:val="0"/>
          <w:numId w:val="2"/>
        </w:numPr>
        <w:spacing w:after="60"/>
      </w:pPr>
      <w:r>
        <w:rPr>
          <w:sz w:val="22"/>
          <w:szCs w:val="22"/>
        </w:rPr>
        <w:t xml:space="preserve">Nguyên tắc lập trình an toàn (Secure Coding): kiểm tra đầu vào, tham số hóa truy vấn.</w:t>
      </w:r>
    </w:p>
    <w:p>
      <w:pPr>
        <w:pStyle w:val="Heading2"/>
        <w:spacing w:after="120" w:before="240"/>
      </w:pPr>
      <w:r>
        <w:rPr>
          <w:b/>
          <w:bCs/>
          <w:color w:val="2E5EAA"/>
          <w:sz w:val="26"/>
          <w:szCs w:val="26"/>
        </w:rPr>
        <w:t xml:space="preserve">6.2. An toàn cơ sở dữ liệu</w:t>
      </w:r>
    </w:p>
    <w:p>
      <w:pPr>
        <w:pStyle w:val="ListParagraph"/>
        <w:numPr>
          <w:ilvl w:val="0"/>
          <w:numId w:val="2"/>
        </w:numPr>
        <w:spacing w:after="60"/>
      </w:pPr>
      <w:r>
        <w:rPr>
          <w:sz w:val="22"/>
          <w:szCs w:val="22"/>
        </w:rPr>
        <w:t xml:space="preserve">Kiểm soát truy cập CSDL, mã hóa dữ liệu (at-rest, in-transit).</w:t>
      </w:r>
    </w:p>
    <w:p>
      <w:pPr>
        <w:pStyle w:val="ListParagraph"/>
        <w:numPr>
          <w:ilvl w:val="0"/>
          <w:numId w:val="2"/>
        </w:numPr>
        <w:spacing w:after="60"/>
      </w:pPr>
      <w:r>
        <w:rPr>
          <w:sz w:val="22"/>
          <w:szCs w:val="22"/>
        </w:rPr>
        <w:t xml:space="preserve">Kiểm toán (auditing), che giấu dữ liệu (data masking).</w:t>
      </w:r>
    </w:p>
    <w:p>
      <w:pPr>
        <w:pStyle w:val="Heading1"/>
        <w:spacing w:after="160" w:before="360"/>
      </w:pPr>
      <w:r>
        <w:rPr>
          <w:b/>
          <w:bCs/>
          <w:color w:val="1F3864"/>
          <w:sz w:val="30"/>
          <w:szCs w:val="30"/>
        </w:rPr>
        <w:t xml:space="preserve">7. QUẢN LÝ RỦI RO VÀ CHÍNH SÁCH AN TOÀN THÔNG TIN</w:t>
      </w:r>
    </w:p>
    <w:p>
      <w:pPr>
        <w:pStyle w:val="Heading2"/>
        <w:spacing w:after="120" w:before="240"/>
      </w:pPr>
      <w:r>
        <w:rPr>
          <w:b/>
          <w:bCs/>
          <w:color w:val="2E5EAA"/>
          <w:sz w:val="26"/>
          <w:szCs w:val="26"/>
        </w:rPr>
        <w:t xml:space="preserve">7.1. Quản lý rủi ro (Risk Management)</w:t>
      </w:r>
    </w:p>
    <w:p>
      <w:pPr>
        <w:pStyle w:val="ListParagraph"/>
        <w:numPr>
          <w:ilvl w:val="0"/>
          <w:numId w:val="2"/>
        </w:numPr>
        <w:spacing w:after="60"/>
      </w:pPr>
      <w:r>
        <w:rPr>
          <w:sz w:val="22"/>
          <w:szCs w:val="22"/>
        </w:rPr>
        <w:t xml:space="preserve">Quy trình: nhận diện tài sản → xác định mối đe dọa/lỗ hổng → đánh giá rủi ro → xử lý rủi ro.</w:t>
      </w:r>
    </w:p>
    <w:p>
      <w:pPr>
        <w:pStyle w:val="ListParagraph"/>
        <w:numPr>
          <w:ilvl w:val="0"/>
          <w:numId w:val="2"/>
        </w:numPr>
        <w:spacing w:after="60"/>
      </w:pPr>
      <w:r>
        <w:rPr>
          <w:sz w:val="22"/>
          <w:szCs w:val="22"/>
        </w:rPr>
        <w:t xml:space="preserve">Chiến lược xử lý rủi ro: né tránh, giảm thiểu, chuyển giao (bảo hiểm), chấp nhận.</w:t>
      </w:r>
    </w:p>
    <w:p>
      <w:pPr>
        <w:pStyle w:val="ListParagraph"/>
        <w:numPr>
          <w:ilvl w:val="0"/>
          <w:numId w:val="2"/>
        </w:numPr>
        <w:spacing w:after="60"/>
      </w:pPr>
      <w:r>
        <w:rPr>
          <w:sz w:val="22"/>
          <w:szCs w:val="22"/>
        </w:rPr>
        <w:t xml:space="preserve">Công thức tham khảo: Rủi ro = Khả năng xảy ra × Mức độ ảnh hưởng.</w:t>
      </w:r>
    </w:p>
    <w:p>
      <w:pPr>
        <w:pStyle w:val="Heading2"/>
        <w:spacing w:after="120" w:before="240"/>
      </w:pPr>
      <w:r>
        <w:rPr>
          <w:b/>
          <w:bCs/>
          <w:color w:val="2E5EAA"/>
          <w:sz w:val="26"/>
          <w:szCs w:val="26"/>
        </w:rPr>
        <w:t xml:space="preserve">7.2. Chính sách, tiêu chuẩn, khung quản trị</w:t>
      </w:r>
    </w:p>
    <w:p>
      <w:pPr>
        <w:pStyle w:val="ListParagraph"/>
        <w:numPr>
          <w:ilvl w:val="0"/>
          <w:numId w:val="2"/>
        </w:numPr>
        <w:spacing w:after="60"/>
      </w:pPr>
      <w:r>
        <w:rPr>
          <w:sz w:val="22"/>
          <w:szCs w:val="22"/>
        </w:rPr>
        <w:t xml:space="preserve">ISO/IEC 27001 (ISMS) và bộ kiểm soát ISO 27002.</w:t>
      </w:r>
    </w:p>
    <w:p>
      <w:pPr>
        <w:pStyle w:val="ListParagraph"/>
        <w:numPr>
          <w:ilvl w:val="0"/>
          <w:numId w:val="2"/>
        </w:numPr>
        <w:spacing w:after="60"/>
      </w:pPr>
      <w:r>
        <w:rPr>
          <w:sz w:val="22"/>
          <w:szCs w:val="22"/>
        </w:rPr>
        <w:t xml:space="preserve">NIST Cybersecurity Framework: Identify – Protect – Detect – Respond – Recover.</w:t>
      </w:r>
    </w:p>
    <w:p>
      <w:pPr>
        <w:pStyle w:val="ListParagraph"/>
        <w:numPr>
          <w:ilvl w:val="0"/>
          <w:numId w:val="2"/>
        </w:numPr>
        <w:spacing w:after="60"/>
      </w:pPr>
      <w:r>
        <w:rPr>
          <w:sz w:val="22"/>
          <w:szCs w:val="22"/>
        </w:rPr>
        <w:t xml:space="preserve">Chính sách an toàn thông tin (Security Policy), quy trình (Procedure), hướng dẫn (Guideline).</w:t>
      </w:r>
    </w:p>
    <w:p>
      <w:pPr>
        <w:pStyle w:val="Heading2"/>
        <w:spacing w:after="120" w:before="240"/>
      </w:pPr>
      <w:r>
        <w:rPr>
          <w:b/>
          <w:bCs/>
          <w:color w:val="2E5EAA"/>
          <w:sz w:val="26"/>
          <w:szCs w:val="26"/>
        </w:rPr>
        <w:t xml:space="preserve">7.3. Kế hoạch dự phòng</w:t>
      </w:r>
    </w:p>
    <w:p>
      <w:pPr>
        <w:pStyle w:val="ListParagraph"/>
        <w:numPr>
          <w:ilvl w:val="0"/>
          <w:numId w:val="2"/>
        </w:numPr>
        <w:spacing w:after="60"/>
      </w:pPr>
      <w:r>
        <w:rPr>
          <w:sz w:val="22"/>
          <w:szCs w:val="22"/>
        </w:rPr>
        <w:t xml:space="preserve">Business Continuity Plan (BCP) và Disaster Recovery Plan (DRP).</w:t>
      </w:r>
    </w:p>
    <w:p>
      <w:pPr>
        <w:pStyle w:val="ListParagraph"/>
        <w:numPr>
          <w:ilvl w:val="0"/>
          <w:numId w:val="2"/>
        </w:numPr>
        <w:spacing w:after="60"/>
      </w:pPr>
      <w:r>
        <w:rPr>
          <w:sz w:val="22"/>
          <w:szCs w:val="22"/>
        </w:rPr>
        <w:t xml:space="preserve">Chỉ số RTO (Recovery Time Objective), RPO (Recovery Point Objective).</w:t>
      </w:r>
    </w:p>
    <w:p>
      <w:pPr>
        <w:pStyle w:val="ListParagraph"/>
        <w:numPr>
          <w:ilvl w:val="0"/>
          <w:numId w:val="2"/>
        </w:numPr>
        <w:spacing w:after="60"/>
      </w:pPr>
      <w:r>
        <w:rPr>
          <w:sz w:val="22"/>
          <w:szCs w:val="22"/>
        </w:rPr>
        <w:t xml:space="preserve">Sao lưu dữ liệu (backup): full, incremental, differential.</w:t>
      </w:r>
    </w:p>
    <w:p>
      <w:pPr>
        <w:pStyle w:val="Heading1"/>
        <w:spacing w:after="160" w:before="360"/>
      </w:pPr>
      <w:r>
        <w:rPr>
          <w:b/>
          <w:bCs/>
          <w:color w:val="1F3864"/>
          <w:sz w:val="30"/>
          <w:szCs w:val="30"/>
        </w:rPr>
        <w:t xml:space="preserve">8. ỨNG PHÓ SỰ CỐ VÀ ĐIỀU TRA SỐ</w:t>
      </w:r>
    </w:p>
    <w:p>
      <w:pPr>
        <w:pStyle w:val="Heading2"/>
        <w:spacing w:after="120" w:before="240"/>
      </w:pPr>
      <w:r>
        <w:rPr>
          <w:b/>
          <w:bCs/>
          <w:color w:val="2E5EAA"/>
          <w:sz w:val="26"/>
          <w:szCs w:val="26"/>
        </w:rPr>
        <w:t xml:space="preserve">8.1. Quản lý sự cố an toàn thông tin (Incident Response)</w:t>
      </w:r>
    </w:p>
    <w:p>
      <w:pPr>
        <w:pStyle w:val="ListParagraph"/>
        <w:numPr>
          <w:ilvl w:val="0"/>
          <w:numId w:val="2"/>
        </w:numPr>
        <w:spacing w:after="60"/>
      </w:pPr>
      <w:r>
        <w:rPr>
          <w:sz w:val="22"/>
          <w:szCs w:val="22"/>
        </w:rPr>
        <w:t xml:space="preserve">Quy trình: Chuẩn bị – Phát hiện – Ngăn chặn – Xử lý – Khôi phục – Rút kinh nghiệm.</w:t>
      </w:r>
    </w:p>
    <w:p>
      <w:pPr>
        <w:pStyle w:val="ListParagraph"/>
        <w:numPr>
          <w:ilvl w:val="0"/>
          <w:numId w:val="2"/>
        </w:numPr>
        <w:spacing w:after="60"/>
      </w:pPr>
      <w:r>
        <w:rPr>
          <w:sz w:val="22"/>
          <w:szCs w:val="22"/>
        </w:rPr>
        <w:t xml:space="preserve">Vai trò của SOC (Security Operations Center), SIEM (Security Information and Event Management).</w:t>
      </w:r>
    </w:p>
    <w:p>
      <w:pPr>
        <w:pStyle w:val="Heading2"/>
        <w:spacing w:after="120" w:before="240"/>
      </w:pPr>
      <w:r>
        <w:rPr>
          <w:b/>
          <w:bCs/>
          <w:color w:val="2E5EAA"/>
          <w:sz w:val="26"/>
          <w:szCs w:val="26"/>
        </w:rPr>
        <w:t xml:space="preserve">8.2. Điều tra số (Digital Forensics)</w:t>
      </w:r>
    </w:p>
    <w:p>
      <w:pPr>
        <w:pStyle w:val="ListParagraph"/>
        <w:numPr>
          <w:ilvl w:val="0"/>
          <w:numId w:val="2"/>
        </w:numPr>
        <w:spacing w:after="60"/>
      </w:pPr>
      <w:r>
        <w:rPr>
          <w:sz w:val="22"/>
          <w:szCs w:val="22"/>
        </w:rPr>
        <w:t xml:space="preserve">Nguyên tắc thu thập chứng cứ số: bảo toàn tính nguyên vẹn, chuỗi lưu ký (chain of custody).</w:t>
      </w:r>
    </w:p>
    <w:p>
      <w:pPr>
        <w:pStyle w:val="ListParagraph"/>
        <w:numPr>
          <w:ilvl w:val="0"/>
          <w:numId w:val="2"/>
        </w:numPr>
        <w:spacing w:after="60"/>
      </w:pPr>
      <w:r>
        <w:rPr>
          <w:sz w:val="22"/>
          <w:szCs w:val="22"/>
        </w:rPr>
        <w:t xml:space="preserve">Phân tích nhật ký hệ thống (log analysis), phân tích bộ nhớ, phân tích ổ đĩa.</w:t>
      </w:r>
    </w:p>
    <w:p>
      <w:pPr>
        <w:pStyle w:val="Heading1"/>
        <w:spacing w:after="160" w:before="360"/>
      </w:pPr>
      <w:r>
        <w:rPr>
          <w:b/>
          <w:bCs/>
          <w:color w:val="1F3864"/>
          <w:sz w:val="30"/>
          <w:szCs w:val="30"/>
        </w:rPr>
        <w:t xml:space="preserve">9. PHÁP LÝ, ĐẠO ĐỨC VÀ XU HƯỚNG MỚI</w:t>
      </w:r>
    </w:p>
    <w:p>
      <w:pPr>
        <w:pStyle w:val="Heading2"/>
        <w:spacing w:after="120" w:before="240"/>
      </w:pPr>
      <w:r>
        <w:rPr>
          <w:b/>
          <w:bCs/>
          <w:color w:val="2E5EAA"/>
          <w:sz w:val="26"/>
          <w:szCs w:val="26"/>
        </w:rPr>
        <w:t xml:space="preserve">9.1. Khía cạnh pháp lý và tuân thủ</w:t>
      </w:r>
    </w:p>
    <w:p>
      <w:pPr>
        <w:pStyle w:val="ListParagraph"/>
        <w:numPr>
          <w:ilvl w:val="0"/>
          <w:numId w:val="2"/>
        </w:numPr>
        <w:spacing w:after="60"/>
      </w:pPr>
      <w:r>
        <w:rPr>
          <w:sz w:val="22"/>
          <w:szCs w:val="22"/>
        </w:rPr>
        <w:t xml:space="preserve">Luật An toàn thông tin mạng, Luật An ninh mạng (Việt Nam).</w:t>
      </w:r>
    </w:p>
    <w:p>
      <w:pPr>
        <w:pStyle w:val="ListParagraph"/>
        <w:numPr>
          <w:ilvl w:val="0"/>
          <w:numId w:val="2"/>
        </w:numPr>
        <w:spacing w:after="60"/>
      </w:pPr>
      <w:r>
        <w:rPr>
          <w:sz w:val="22"/>
          <w:szCs w:val="22"/>
        </w:rPr>
        <w:t xml:space="preserve">Các quy định quốc tế tham khảo: GDPR (EU), HIPAA, PCI-DSS.</w:t>
      </w:r>
    </w:p>
    <w:p>
      <w:pPr>
        <w:pStyle w:val="Heading2"/>
        <w:spacing w:after="120" w:before="240"/>
      </w:pPr>
      <w:r>
        <w:rPr>
          <w:b/>
          <w:bCs/>
          <w:color w:val="2E5EAA"/>
          <w:sz w:val="26"/>
          <w:szCs w:val="26"/>
        </w:rPr>
        <w:t xml:space="preserve">9.2. Đạo đức nghề nghiệp</w:t>
      </w:r>
    </w:p>
    <w:p>
      <w:pPr>
        <w:pStyle w:val="ListParagraph"/>
        <w:numPr>
          <w:ilvl w:val="0"/>
          <w:numId w:val="2"/>
        </w:numPr>
        <w:spacing w:after="60"/>
      </w:pPr>
      <w:r>
        <w:rPr>
          <w:sz w:val="22"/>
          <w:szCs w:val="22"/>
        </w:rPr>
        <w:t xml:space="preserve">Đạo đức của người làm an toàn thông tin, ranh giới hacker mũ trắng và tội phạm mạng.</w:t>
      </w:r>
    </w:p>
    <w:p>
      <w:pPr>
        <w:pStyle w:val="Heading2"/>
        <w:spacing w:after="120" w:before="240"/>
      </w:pPr>
      <w:r>
        <w:rPr>
          <w:b/>
          <w:bCs/>
          <w:color w:val="2E5EAA"/>
          <w:sz w:val="26"/>
          <w:szCs w:val="26"/>
        </w:rPr>
        <w:t xml:space="preserve">9.3. Xu hướng công nghệ mới</w:t>
      </w:r>
    </w:p>
    <w:p>
      <w:pPr>
        <w:pStyle w:val="ListParagraph"/>
        <w:numPr>
          <w:ilvl w:val="0"/>
          <w:numId w:val="2"/>
        </w:numPr>
        <w:spacing w:after="60"/>
      </w:pPr>
      <w:r>
        <w:rPr>
          <w:sz w:val="22"/>
          <w:szCs w:val="22"/>
        </w:rPr>
        <w:t xml:space="preserve">An toàn điện toán đám mây (Cloud Security): mô hình trách nhiệm chia sẻ (Shared Responsibility Model).</w:t>
      </w:r>
    </w:p>
    <w:p>
      <w:pPr>
        <w:pStyle w:val="ListParagraph"/>
        <w:numPr>
          <w:ilvl w:val="0"/>
          <w:numId w:val="2"/>
        </w:numPr>
        <w:spacing w:after="60"/>
      </w:pPr>
      <w:r>
        <w:rPr>
          <w:sz w:val="22"/>
          <w:szCs w:val="22"/>
        </w:rPr>
        <w:t xml:space="preserve">An toàn IoT, an toàn hệ thống điều khiển công nghiệp (SCADA/ICS).</w:t>
      </w:r>
    </w:p>
    <w:p>
      <w:pPr>
        <w:pStyle w:val="ListParagraph"/>
        <w:numPr>
          <w:ilvl w:val="0"/>
          <w:numId w:val="2"/>
        </w:numPr>
        <w:spacing w:after="60"/>
      </w:pPr>
      <w:r>
        <w:rPr>
          <w:sz w:val="22"/>
          <w:szCs w:val="22"/>
        </w:rPr>
        <w:t xml:space="preserve">An toàn trí tuệ nhân tạo (AI Security): tấn công đầu độc dữ liệu (data poisoning), adversarial attack.</w:t>
      </w:r>
    </w:p>
    <w:p>
      <w:pPr>
        <w:pStyle w:val="ListParagraph"/>
        <w:numPr>
          <w:ilvl w:val="0"/>
          <w:numId w:val="2"/>
        </w:numPr>
        <w:spacing w:after="60"/>
      </w:pPr>
      <w:r>
        <w:rPr>
          <w:sz w:val="22"/>
          <w:szCs w:val="22"/>
        </w:rPr>
        <w:t xml:space="preserve">Kiến trúc Zero Trust Architecture (ZTA).</w:t>
      </w:r>
    </w:p>
    <w:p>
      <w:pPr>
        <w:pStyle w:val="Heading1"/>
        <w:spacing w:after="160" w:before="360"/>
      </w:pPr>
      <w:r>
        <w:rPr>
          <w:b/>
          <w:bCs/>
          <w:color w:val="1F3864"/>
          <w:sz w:val="30"/>
          <w:szCs w:val="30"/>
        </w:rPr>
        <w:t xml:space="preserve">10. GỢI Ý PHƯƠNG PHÁP ÔN TẬP</w:t>
      </w:r>
    </w:p>
    <w:p>
      <w:pPr>
        <w:pStyle w:val="Heading2"/>
        <w:spacing w:after="120" w:before="240"/>
      </w:pPr>
      <w:r>
        <w:rPr>
          <w:b/>
          <w:bCs/>
          <w:color w:val="2E5EAA"/>
          <w:sz w:val="26"/>
          <w:szCs w:val="26"/>
        </w:rPr>
        <w:t xml:space="preserve">10.1. Cách tiếp cận học tập</w:t>
      </w:r>
    </w:p>
    <w:p>
      <w:pPr>
        <w:pStyle w:val="ListParagraph"/>
        <w:numPr>
          <w:ilvl w:val="0"/>
          <w:numId w:val="2"/>
        </w:numPr>
        <w:spacing w:after="60"/>
      </w:pPr>
      <w:r>
        <w:rPr>
          <w:sz w:val="22"/>
          <w:szCs w:val="22"/>
        </w:rPr>
        <w:t xml:space="preserve">Học theo sơ đồ tư duy (mind map) cho từng chương, liên kết khái niệm với ví dụ thực tế.</w:t>
      </w:r>
    </w:p>
    <w:p>
      <w:pPr>
        <w:pStyle w:val="ListParagraph"/>
        <w:numPr>
          <w:ilvl w:val="0"/>
          <w:numId w:val="2"/>
        </w:numPr>
        <w:spacing w:after="60"/>
      </w:pPr>
      <w:r>
        <w:rPr>
          <w:sz w:val="22"/>
          <w:szCs w:val="22"/>
        </w:rPr>
        <w:t xml:space="preserve">Thực hành trên môi trường lab (VD: Kali Linux, Wireshark, Metasploitable) để hiểu bản chất tấn công/phòng thủ.</w:t>
      </w:r>
    </w:p>
    <w:p>
      <w:pPr>
        <w:pStyle w:val="ListParagraph"/>
        <w:numPr>
          <w:ilvl w:val="0"/>
          <w:numId w:val="2"/>
        </w:numPr>
        <w:spacing w:after="60"/>
      </w:pPr>
      <w:r>
        <w:rPr>
          <w:sz w:val="22"/>
          <w:szCs w:val="22"/>
        </w:rPr>
        <w:t xml:space="preserve">So sánh các mô hình/thuật toán bằng bảng để dễ ghi nhớ điểm giống – khác.</w:t>
      </w:r>
    </w:p>
    <w:p>
      <w:pPr>
        <w:pStyle w:val="Heading2"/>
        <w:spacing w:after="120" w:before="240"/>
      </w:pPr>
      <w:r>
        <w:rPr>
          <w:b/>
          <w:bCs/>
          <w:color w:val="2E5EAA"/>
          <w:sz w:val="26"/>
          <w:szCs w:val="26"/>
        </w:rPr>
        <w:t xml:space="preserve">10.2. Bảng so sánh nhanh: Đối xứng vs Bất đối xứng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19"/>
        <w:gridCol w:w="3719"/>
      </w:tblGrid>
      <w:tr>
        <w:trPr>
          <w:tblHeader/>
        </w:trPr>
        <w:tc>
          <w:tcPr>
            <w:tcW w:type="dxa" w:w="2200"/>
            <w:shd w:fill="1F3864" w:val="clear"/>
          </w:tcPr>
          <w:p>
            <w:r>
              <w:rPr>
                <w:b/>
                <w:bCs/>
                <w:color w:val="FFFFFF"/>
                <w:sz w:val="20"/>
                <w:szCs w:val="20"/>
              </w:rPr>
              <w:t xml:space="preserve">Tiêu chí</w:t>
            </w:r>
          </w:p>
        </w:tc>
        <w:tc>
          <w:tcPr>
            <w:tcW w:type="dxa" w:w="3719"/>
            <w:shd w:fill="1F3864" w:val="clear"/>
          </w:tcPr>
          <w:p>
            <w:r>
              <w:rPr>
                <w:b/>
                <w:bCs/>
                <w:color w:val="FFFFFF"/>
                <w:sz w:val="20"/>
                <w:szCs w:val="20"/>
              </w:rPr>
              <w:t xml:space="preserve">Mật mã đối xứng</w:t>
            </w:r>
          </w:p>
        </w:tc>
        <w:tc>
          <w:tcPr>
            <w:tcW w:type="dxa" w:w="3719"/>
            <w:shd w:fill="1F3864" w:val="clear"/>
          </w:tcPr>
          <w:p>
            <w:r>
              <w:rPr>
                <w:b/>
                <w:bCs/>
                <w:color w:val="FFFFFF"/>
                <w:sz w:val="20"/>
                <w:szCs w:val="20"/>
              </w:rPr>
              <w:t xml:space="preserve">Mật mã bất đối xứng</w:t>
            </w:r>
          </w:p>
        </w:tc>
      </w:tr>
      <w:tr>
        <w:tc>
          <w:tcPr>
            <w:tcW w:type="dxa" w:w="2200"/>
          </w:tcPr>
          <w:p>
            <w:r>
              <w:rPr>
                <w:sz w:val="20"/>
                <w:szCs w:val="20"/>
              </w:rPr>
              <w:t xml:space="preserve">Số khóa</w:t>
            </w:r>
          </w:p>
        </w:tc>
        <w:tc>
          <w:tcPr>
            <w:tcW w:type="dxa" w:w="3719"/>
          </w:tcPr>
          <w:p>
            <w:r>
              <w:rPr>
                <w:sz w:val="20"/>
                <w:szCs w:val="20"/>
              </w:rPr>
              <w:t xml:space="preserve">Một khóa dùng chung</w:t>
            </w:r>
          </w:p>
        </w:tc>
        <w:tc>
          <w:tcPr>
            <w:tcW w:type="dxa" w:w="3719"/>
          </w:tcPr>
          <w:p>
            <w:r>
              <w:rPr>
                <w:sz w:val="20"/>
                <w:szCs w:val="20"/>
              </w:rPr>
              <w:t xml:space="preserve">Cặp khóa công khai/bí mật</w:t>
            </w:r>
          </w:p>
        </w:tc>
      </w:tr>
      <w:tr>
        <w:tc>
          <w:tcPr>
            <w:tcW w:type="dxa" w:w="2200"/>
          </w:tcPr>
          <w:p>
            <w:r>
              <w:rPr>
                <w:sz w:val="20"/>
                <w:szCs w:val="20"/>
              </w:rPr>
              <w:t xml:space="preserve">Tốc độ</w:t>
            </w:r>
          </w:p>
        </w:tc>
        <w:tc>
          <w:tcPr>
            <w:tcW w:type="dxa" w:w="3719"/>
          </w:tcPr>
          <w:p>
            <w:r>
              <w:rPr>
                <w:sz w:val="20"/>
                <w:szCs w:val="20"/>
              </w:rPr>
              <w:t xml:space="preserve">Nhanh</w:t>
            </w:r>
          </w:p>
        </w:tc>
        <w:tc>
          <w:tcPr>
            <w:tcW w:type="dxa" w:w="3719"/>
          </w:tcPr>
          <w:p>
            <w:r>
              <w:rPr>
                <w:sz w:val="20"/>
                <w:szCs w:val="20"/>
              </w:rPr>
              <w:t xml:space="preserve">Chậm hơn</w:t>
            </w:r>
          </w:p>
        </w:tc>
      </w:tr>
      <w:tr>
        <w:tc>
          <w:tcPr>
            <w:tcW w:type="dxa" w:w="2200"/>
          </w:tcPr>
          <w:p>
            <w:r>
              <w:rPr>
                <w:sz w:val="20"/>
                <w:szCs w:val="20"/>
              </w:rPr>
              <w:t xml:space="preserve">Ví dụ</w:t>
            </w:r>
          </w:p>
        </w:tc>
        <w:tc>
          <w:tcPr>
            <w:tcW w:type="dxa" w:w="3719"/>
          </w:tcPr>
          <w:p>
            <w:r>
              <w:rPr>
                <w:sz w:val="20"/>
                <w:szCs w:val="20"/>
              </w:rPr>
              <w:t xml:space="preserve">AES, DES, 3DES</w:t>
            </w:r>
          </w:p>
        </w:tc>
        <w:tc>
          <w:tcPr>
            <w:tcW w:type="dxa" w:w="3719"/>
          </w:tcPr>
          <w:p>
            <w:r>
              <w:rPr>
                <w:sz w:val="20"/>
                <w:szCs w:val="20"/>
              </w:rPr>
              <w:t xml:space="preserve">RSA, ECC, Diffie-Hellman</w:t>
            </w:r>
          </w:p>
        </w:tc>
      </w:tr>
      <w:tr>
        <w:tc>
          <w:tcPr>
            <w:tcW w:type="dxa" w:w="2200"/>
          </w:tcPr>
          <w:p>
            <w:r>
              <w:rPr>
                <w:sz w:val="20"/>
                <w:szCs w:val="20"/>
              </w:rPr>
              <w:t xml:space="preserve">Ứng dụng chính</w:t>
            </w:r>
          </w:p>
        </w:tc>
        <w:tc>
          <w:tcPr>
            <w:tcW w:type="dxa" w:w="3719"/>
          </w:tcPr>
          <w:p>
            <w:r>
              <w:rPr>
                <w:sz w:val="20"/>
                <w:szCs w:val="20"/>
              </w:rPr>
              <w:t xml:space="preserve">Mã hóa dữ liệu lớn</w:t>
            </w:r>
          </w:p>
        </w:tc>
        <w:tc>
          <w:tcPr>
            <w:tcW w:type="dxa" w:w="3719"/>
          </w:tcPr>
          <w:p>
            <w:r>
              <w:rPr>
                <w:sz w:val="20"/>
                <w:szCs w:val="20"/>
              </w:rPr>
              <w:t xml:space="preserve">Trao đổi khóa, chữ ký số</w:t>
            </w:r>
          </w:p>
        </w:tc>
      </w:tr>
    </w:tbl>
    <w:p>
      <w:pPr>
        <w:spacing w:after="200"/>
      </w:pPr>
    </w:p>
    <w:p>
      <w:pPr>
        <w:pStyle w:val="Heading2"/>
        <w:spacing w:after="120" w:before="240"/>
      </w:pPr>
      <w:r>
        <w:rPr>
          <w:b/>
          <w:bCs/>
          <w:color w:val="2E5EAA"/>
          <w:sz w:val="26"/>
          <w:szCs w:val="26"/>
        </w:rPr>
        <w:t xml:space="preserve">10.3. Tài liệu tham khảo gợi ý</w:t>
      </w:r>
    </w:p>
    <w:p>
      <w:pPr>
        <w:pStyle w:val="ListParagraph"/>
        <w:numPr>
          <w:ilvl w:val="0"/>
          <w:numId w:val="2"/>
        </w:numPr>
        <w:spacing w:after="60"/>
      </w:pPr>
      <w:r>
        <w:rPr>
          <w:sz w:val="22"/>
          <w:szCs w:val="22"/>
        </w:rPr>
        <w:t xml:space="preserve">William Stallings – Cryptography and Network Security.</w:t>
      </w:r>
    </w:p>
    <w:p>
      <w:pPr>
        <w:pStyle w:val="ListParagraph"/>
        <w:numPr>
          <w:ilvl w:val="0"/>
          <w:numId w:val="2"/>
        </w:numPr>
        <w:spacing w:after="60"/>
      </w:pPr>
      <w:r>
        <w:rPr>
          <w:sz w:val="22"/>
          <w:szCs w:val="22"/>
        </w:rPr>
        <w:t xml:space="preserve">Michael E. Whitman &amp; Herbert J. Mattord – Principles of Information Security.</w:t>
      </w:r>
    </w:p>
    <w:p>
      <w:pPr>
        <w:pStyle w:val="ListParagraph"/>
        <w:numPr>
          <w:ilvl w:val="0"/>
          <w:numId w:val="2"/>
        </w:numPr>
        <w:spacing w:after="60"/>
      </w:pPr>
      <w:r>
        <w:rPr>
          <w:sz w:val="22"/>
          <w:szCs w:val="22"/>
        </w:rPr>
        <w:t xml:space="preserve">Bộ tiêu chuẩn ISO/IEC 27000 series.</w:t>
      </w:r>
    </w:p>
    <w:p>
      <w:pPr>
        <w:pStyle w:val="ListParagraph"/>
        <w:numPr>
          <w:ilvl w:val="0"/>
          <w:numId w:val="2"/>
        </w:numPr>
        <w:spacing w:after="60"/>
      </w:pPr>
      <w:r>
        <w:rPr>
          <w:sz w:val="22"/>
          <w:szCs w:val="22"/>
        </w:rPr>
        <w:t xml:space="preserve">NIST Special Publications 800 series (800-53, 800-30, 800-61).</w:t>
      </w:r>
    </w:p>
    <w:p>
      <w:pPr>
        <w:pBdr>
          <w:left w:val="single" w:color="2E5EAA" w:sz="12" w:space="8"/>
        </w:pBdr>
        <w:shd w:fill="EDF2FA" w:val="clear"/>
        <w:spacing w:after="160"/>
      </w:pPr>
      <w:r>
        <w:rPr>
          <w:i/>
          <w:iCs/>
          <w:color w:val="31456A"/>
          <w:sz w:val="21"/>
          <w:szCs w:val="21"/>
        </w:rPr>
        <w:t xml:space="preserve">Đây là đề cương tổng hợp mang tính định hướng ôn tập chung; bạn nên đối chiếu với đề cương chi tiết môn học và slide bài giảng cụ thể của giảng viên để bổ sung nội dung sát với chương trình đang học.</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2026-08-23T18:58:19.641Z</dcterms:created>
  <dcterms:modified xsi:type="dcterms:W3CDTF">2026-08-23T18:58:19.641Z</dcterms:modified>
</cp:coreProperties>
</file>

<file path=docProps/custom.xml><?xml version="1.0" encoding="utf-8"?>
<Properties xmlns="http://schemas.openxmlformats.org/officeDocument/2006/custom-properties" xmlns:vt="http://schemas.openxmlformats.org/officeDocument/2006/docPropsVTypes"/>
</file>