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808080"/>
          <w:sz w:val="30"/>
          <w:szCs w:val="30"/>
        </w:rPr>
        <w:t xml:space="preserve">TÀI LIỆU HỌC TẬP</w:t>
      </w:r>
    </w:p>
    <w:p>
      <w:pPr>
        <w:spacing w:after="200" w:before="200"/>
        <w:jc w:val="center"/>
      </w:pPr>
      <w:r>
        <w:rPr>
          <w:b/>
          <w:bCs/>
          <w:color w:val="1F4E79"/>
          <w:sz w:val="56"/>
          <w:szCs w:val="56"/>
        </w:rPr>
        <w:t xml:space="preserve">LOGIC HỌC</w:t>
      </w:r>
    </w:p>
    <w:p>
      <w:pPr>
        <w:spacing w:after="600"/>
        <w:jc w:val="center"/>
      </w:pPr>
      <w:r>
        <w:rPr>
          <w:i/>
          <w:iCs/>
          <w:color w:val="444444"/>
          <w:sz w:val="26"/>
          <w:szCs w:val="26"/>
        </w:rPr>
        <w:t xml:space="preserve">Phần 1: Logic mệnh đề  •  Phần 2: Logic vị từ  •  Phần 3: Logic mờ</w:t>
      </w:r>
    </w:p>
    <w:p>
      <w:pPr>
        <w:spacing w:after="100"/>
        <w:jc w:val="center"/>
      </w:pPr>
      <w:r>
        <w:rPr>
          <w:color w:val="666666"/>
          <w:sz w:val="22"/>
          <w:szCs w:val="22"/>
        </w:rPr>
        <w:t xml:space="preserve">Lý thuyết cô đọng — Ví dụ minh họa — Bài tập có lời giải chi tiết</w:t>
      </w:r>
    </w:p>
    <w:p>
      <w:r>
        <w:br w:type="page"/>
      </w:r>
    </w:p>
    <w:p>
      <w:pPr>
        <w:pStyle w:val="Heading1"/>
        <w:pBdr>
          <w:bottom w:val="single" w:color="1F4E79" w:sz="12" w:space="4"/>
        </w:pBdr>
        <w:spacing w:after="200" w:before="400"/>
      </w:pPr>
      <w:r>
        <w:rPr>
          <w:b/>
          <w:bCs/>
          <w:color w:val="1F4E79"/>
          <w:sz w:val="32"/>
          <w:szCs w:val="32"/>
        </w:rPr>
        <w:t xml:space="preserve">PHẦN 1: LOGIC MỆNH ĐỀ (PROPOSITIONAL LOGIC)</w:t>
      </w:r>
    </w:p>
    <w:p>
      <w:pPr>
        <w:pStyle w:val="Heading2"/>
        <w:spacing w:after="150" w:before="300"/>
      </w:pPr>
      <w:r>
        <w:rPr>
          <w:b/>
          <w:bCs/>
          <w:color w:val="1F4E79"/>
          <w:sz w:val="26"/>
          <w:szCs w:val="26"/>
        </w:rPr>
        <w:t xml:space="preserve">1. Khái niệm cơ bản</w:t>
      </w:r>
    </w:p>
    <w:p>
      <w:pPr>
        <w:spacing w:after="120"/>
      </w:pPr>
      <w:r>
        <w:t xml:space="preserve">Mệnh đề (proposition) là một câu khẳng định có tính chất hoặc đúng, hoặc sai, không thể vừa đúng vừa sai. Ký hiệu các mệnh đề bằng chữ cái p, q, r, ...</w:t>
      </w:r>
    </w:p>
    <w:p>
      <w:pPr>
        <w:spacing w:after="120"/>
      </w:pPr>
      <w:r>
        <w:t xml:space="preserve">Ví dụ: "5 là số nguyên tố" là mệnh đề đúng. "Hôm nay trời đẹp quá!" không phải mệnh đề vì không xác định được đúng/sai (mang tính chủ quan).</w:t>
      </w:r>
    </w:p>
    <w:p>
      <w:pPr>
        <w:pStyle w:val="Heading2"/>
        <w:spacing w:after="150" w:before="300"/>
      </w:pPr>
      <w:r>
        <w:rPr>
          <w:b/>
          <w:bCs/>
          <w:color w:val="1F4E79"/>
          <w:sz w:val="26"/>
          <w:szCs w:val="26"/>
        </w:rPr>
        <w:t xml:space="preserve">2. Các phép toán logic cơ bản</w:t>
      </w:r>
    </w:p>
    <w:p>
      <w:pPr>
        <w:pStyle w:val="ListParagraph"/>
        <w:numPr>
          <w:ilvl w:val="0"/>
          <w:numId w:val="2"/>
        </w:numPr>
        <w:spacing w:after="60"/>
      </w:pPr>
      <w:r>
        <w:t xml:space="preserve">Phủ định (Negation): ¬p — đúng khi p sai, sai khi p đúng.</w:t>
      </w:r>
    </w:p>
    <w:p>
      <w:pPr>
        <w:pStyle w:val="ListParagraph"/>
        <w:numPr>
          <w:ilvl w:val="0"/>
          <w:numId w:val="2"/>
        </w:numPr>
        <w:spacing w:after="60"/>
      </w:pPr>
      <w:r>
        <w:t xml:space="preserve">Hội (Conjunction): p ∧ q — đúng khi cả p và q đều đúng.</w:t>
      </w:r>
    </w:p>
    <w:p>
      <w:pPr>
        <w:pStyle w:val="ListParagraph"/>
        <w:numPr>
          <w:ilvl w:val="0"/>
          <w:numId w:val="2"/>
        </w:numPr>
        <w:spacing w:after="60"/>
      </w:pPr>
      <w:r>
        <w:t xml:space="preserve">Tuyển (Disjunction): p ∨ q — đúng khi ít nhất một trong p, q đúng.</w:t>
      </w:r>
    </w:p>
    <w:p>
      <w:pPr>
        <w:pStyle w:val="ListParagraph"/>
        <w:numPr>
          <w:ilvl w:val="0"/>
          <w:numId w:val="2"/>
        </w:numPr>
        <w:spacing w:after="60"/>
      </w:pPr>
      <w:r>
        <w:t xml:space="preserve">Kéo theo (Implication): p → q — chỉ sai khi p đúng và q sai.</w:t>
      </w:r>
    </w:p>
    <w:p>
      <w:pPr>
        <w:pStyle w:val="ListParagraph"/>
        <w:numPr>
          <w:ilvl w:val="0"/>
          <w:numId w:val="2"/>
        </w:numPr>
        <w:spacing w:after="60"/>
      </w:pPr>
      <w:r>
        <w:t xml:space="preserve">Tương đương (Biconditional): p ↔ q — đúng khi p và q cùng chân trị.</w:t>
      </w:r>
    </w:p>
    <w:p>
      <w:pPr>
        <w:pStyle w:val="ListParagraph"/>
        <w:numPr>
          <w:ilvl w:val="0"/>
          <w:numId w:val="2"/>
        </w:numPr>
        <w:spacing w:after="60"/>
      </w:pPr>
      <w:r>
        <w:t xml:space="preserve">Tuyển loại trừ (XOR): p ⊕ q — đúng khi p, q khác chân trị nhau.</w:t>
      </w:r>
    </w:p>
    <w:p>
      <w:pPr>
        <w:spacing w:after="100" w:before="200"/>
      </w:pPr>
      <w:r>
        <w:rPr>
          <w:b/>
          <w:bCs/>
          <w:color w:val="1F4E79"/>
          <w:sz w:val="24"/>
          <w:szCs w:val="24"/>
        </w:rPr>
        <w:t xml:space="preserve">Bảng chân trị tổng hợp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tblHeader/>
        </w:trPr>
        <w:tc>
          <w:tcPr>
            <w:tcW w:type="dxa" w:w="1125"/>
            <w:shd w:fill="D9E2F3" w:val="clear"/>
            <w:vAlign w:val="center"/>
          </w:tcPr>
          <w:p>
            <w:pPr>
              <w:jc w:val="center"/>
            </w:pPr>
            <w:r>
              <w:rPr>
                <w:b/>
                <w:bCs/>
                <w:sz w:val="20"/>
                <w:szCs w:val="20"/>
              </w:rPr>
              <w:t xml:space="preserve">p</w:t>
            </w:r>
          </w:p>
        </w:tc>
        <w:tc>
          <w:tcPr>
            <w:tcW w:type="dxa" w:w="1125"/>
            <w:shd w:fill="D9E2F3" w:val="clear"/>
            <w:vAlign w:val="center"/>
          </w:tcPr>
          <w:p>
            <w:pPr>
              <w:jc w:val="center"/>
            </w:pPr>
            <w:r>
              <w:rPr>
                <w:b/>
                <w:bCs/>
                <w:sz w:val="20"/>
                <w:szCs w:val="20"/>
              </w:rPr>
              <w:t xml:space="preserve">q</w:t>
            </w:r>
          </w:p>
        </w:tc>
        <w:tc>
          <w:tcPr>
            <w:tcW w:type="dxa" w:w="1125"/>
            <w:shd w:fill="D9E2F3" w:val="clear"/>
            <w:vAlign w:val="center"/>
          </w:tcPr>
          <w:p>
            <w:pPr>
              <w:jc w:val="center"/>
            </w:pPr>
            <w:r>
              <w:rPr>
                <w:b/>
                <w:bCs/>
                <w:sz w:val="20"/>
                <w:szCs w:val="20"/>
              </w:rPr>
              <w:t xml:space="preserve">¬p</w:t>
            </w:r>
          </w:p>
        </w:tc>
        <w:tc>
          <w:tcPr>
            <w:tcW w:type="dxa" w:w="1125"/>
            <w:shd w:fill="D9E2F3" w:val="clear"/>
            <w:vAlign w:val="center"/>
          </w:tcPr>
          <w:p>
            <w:pPr>
              <w:jc w:val="center"/>
            </w:pPr>
            <w:r>
              <w:rPr>
                <w:b/>
                <w:bCs/>
                <w:sz w:val="20"/>
                <w:szCs w:val="20"/>
              </w:rPr>
              <w:t xml:space="preserve">p∧q</w:t>
            </w:r>
          </w:p>
        </w:tc>
        <w:tc>
          <w:tcPr>
            <w:tcW w:type="dxa" w:w="1125"/>
            <w:shd w:fill="D9E2F3" w:val="clear"/>
            <w:vAlign w:val="center"/>
          </w:tcPr>
          <w:p>
            <w:pPr>
              <w:jc w:val="center"/>
            </w:pPr>
            <w:r>
              <w:rPr>
                <w:b/>
                <w:bCs/>
                <w:sz w:val="20"/>
                <w:szCs w:val="20"/>
              </w:rPr>
              <w:t xml:space="preserve">p∨q</w:t>
            </w:r>
          </w:p>
        </w:tc>
        <w:tc>
          <w:tcPr>
            <w:tcW w:type="dxa" w:w="1125"/>
            <w:shd w:fill="D9E2F3" w:val="clear"/>
            <w:vAlign w:val="center"/>
          </w:tcPr>
          <w:p>
            <w:pPr>
              <w:jc w:val="center"/>
            </w:pPr>
            <w:r>
              <w:rPr>
                <w:b/>
                <w:bCs/>
                <w:sz w:val="20"/>
                <w:szCs w:val="20"/>
              </w:rPr>
              <w:t xml:space="preserve">p→q</w:t>
            </w:r>
          </w:p>
        </w:tc>
        <w:tc>
          <w:tcPr>
            <w:tcW w:type="dxa" w:w="1125"/>
            <w:shd w:fill="D9E2F3" w:val="clear"/>
            <w:vAlign w:val="center"/>
          </w:tcPr>
          <w:p>
            <w:pPr>
              <w:jc w:val="center"/>
            </w:pPr>
            <w:r>
              <w:rPr>
                <w:b/>
                <w:bCs/>
                <w:sz w:val="20"/>
                <w:szCs w:val="20"/>
              </w:rPr>
              <w:t xml:space="preserve">p↔q</w:t>
            </w:r>
          </w:p>
        </w:tc>
        <w:tc>
          <w:tcPr>
            <w:tcW w:type="dxa" w:w="1125"/>
            <w:shd w:fill="D9E2F3" w:val="clear"/>
            <w:vAlign w:val="center"/>
          </w:tcPr>
          <w:p>
            <w:pPr>
              <w:jc w:val="center"/>
            </w:pPr>
            <w:r>
              <w:rPr>
                <w:b/>
                <w:bCs/>
                <w:sz w:val="20"/>
                <w:szCs w:val="20"/>
              </w:rPr>
              <w:t xml:space="preserve">p⊕q</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r>
    </w:tbl>
    <w:p>
      <w:pPr>
        <w:pStyle w:val="Heading2"/>
        <w:spacing w:after="150" w:before="300"/>
      </w:pPr>
      <w:r>
        <w:rPr>
          <w:b/>
          <w:bCs/>
          <w:color w:val="1F4E79"/>
          <w:sz w:val="26"/>
          <w:szCs w:val="26"/>
        </w:rPr>
        <w:t xml:space="preserve">3. Các phép kéo theo liên quan (dùng nhiều khi biến đổi/suy luận)</w:t>
      </w:r>
    </w:p>
    <w:p>
      <w:pPr>
        <w:spacing w:after="120"/>
        <w:jc w:val="center"/>
      </w:pPr>
      <w:r>
        <w:rPr>
          <w:rFonts w:ascii="Cambria Math" w:cs="Cambria Math" w:eastAsia="Cambria Math" w:hAnsi="Cambria Math"/>
          <w:i/>
          <w:iCs/>
          <w:sz w:val="24"/>
          <w:szCs w:val="24"/>
        </w:rPr>
        <w:t xml:space="preserve">Mệnh đề đảo (converse):  q → p</w:t>
      </w:r>
    </w:p>
    <w:p>
      <w:pPr>
        <w:spacing w:after="120"/>
        <w:jc w:val="center"/>
      </w:pPr>
      <w:r>
        <w:rPr>
          <w:rFonts w:ascii="Cambria Math" w:cs="Cambria Math" w:eastAsia="Cambria Math" w:hAnsi="Cambria Math"/>
          <w:i/>
          <w:iCs/>
          <w:sz w:val="24"/>
          <w:szCs w:val="24"/>
        </w:rPr>
        <w:t xml:space="preserve">Mệnh đề phản đảo (contrapositive):  ¬q → ¬p   (tương đương logic với p → q)</w:t>
      </w:r>
    </w:p>
    <w:p>
      <w:pPr>
        <w:spacing w:after="120"/>
        <w:jc w:val="center"/>
      </w:pPr>
      <w:r>
        <w:rPr>
          <w:rFonts w:ascii="Cambria Math" w:cs="Cambria Math" w:eastAsia="Cambria Math" w:hAnsi="Cambria Math"/>
          <w:i/>
          <w:iCs/>
          <w:sz w:val="24"/>
          <w:szCs w:val="24"/>
        </w:rPr>
        <w:t xml:space="preserve">Mệnh đề nghịch (inverse):  ¬p → ¬q</w:t>
      </w:r>
    </w:p>
    <w:p>
      <w:pPr>
        <w:spacing w:after="120"/>
        <w:jc w:val="center"/>
      </w:pPr>
      <w:r>
        <w:rPr>
          <w:rFonts w:ascii="Cambria Math" w:cs="Cambria Math" w:eastAsia="Cambria Math" w:hAnsi="Cambria Math"/>
          <w:i/>
          <w:iCs/>
          <w:sz w:val="24"/>
          <w:szCs w:val="24"/>
        </w:rPr>
        <w:t xml:space="preserve">Dạng tuyển của kéo theo:  p → q  ≡  ¬p ∨ q</w:t>
      </w:r>
    </w:p>
    <w:p>
      <w:pPr>
        <w:pStyle w:val="Heading2"/>
        <w:spacing w:after="150" w:before="300"/>
      </w:pPr>
      <w:r>
        <w:rPr>
          <w:b/>
          <w:bCs/>
          <w:color w:val="1F4E79"/>
          <w:sz w:val="26"/>
          <w:szCs w:val="26"/>
        </w:rPr>
        <w:t xml:space="preserve">4. Các luật logic quan trọng (Logical Equivalences)</w:t>
      </w:r>
    </w:p>
    <w:p>
      <w:pPr>
        <w:pStyle w:val="ListParagraph"/>
        <w:numPr>
          <w:ilvl w:val="0"/>
          <w:numId w:val="2"/>
        </w:numPr>
        <w:spacing w:after="60"/>
      </w:pPr>
      <w:r>
        <w:t xml:space="preserve">Luật De Morgan: ¬(p∧q) ≡ ¬p∨¬q  và  ¬(p∨q) ≡ ¬p∧¬q</w:t>
      </w:r>
    </w:p>
    <w:p>
      <w:pPr>
        <w:pStyle w:val="ListParagraph"/>
        <w:numPr>
          <w:ilvl w:val="0"/>
          <w:numId w:val="2"/>
        </w:numPr>
        <w:spacing w:after="60"/>
      </w:pPr>
      <w:r>
        <w:t xml:space="preserve">Luật phân phối: p∧(q∨r) ≡ (p∧q)∨(p∧r);  p∨(q∧r) ≡ (p∨q)∧(p∨r)</w:t>
      </w:r>
    </w:p>
    <w:p>
      <w:pPr>
        <w:pStyle w:val="ListParagraph"/>
        <w:numPr>
          <w:ilvl w:val="0"/>
          <w:numId w:val="2"/>
        </w:numPr>
        <w:spacing w:after="60"/>
      </w:pPr>
      <w:r>
        <w:t xml:space="preserve">Luật kết hợp, giao hoán tương tự phép toán số học đối với ∧, ∨</w:t>
      </w:r>
    </w:p>
    <w:p>
      <w:pPr>
        <w:pStyle w:val="ListParagraph"/>
        <w:numPr>
          <w:ilvl w:val="0"/>
          <w:numId w:val="2"/>
        </w:numPr>
        <w:spacing w:after="60"/>
      </w:pPr>
      <w:r>
        <w:t xml:space="preserve">Luật phủ định kép: ¬(¬p) ≡ p</w:t>
      </w:r>
    </w:p>
    <w:p>
      <w:pPr>
        <w:pStyle w:val="ListParagraph"/>
        <w:numPr>
          <w:ilvl w:val="0"/>
          <w:numId w:val="2"/>
        </w:numPr>
        <w:spacing w:after="60"/>
      </w:pPr>
      <w:r>
        <w:t xml:space="preserve">Luật hấp thụ: p∧(p∨q) ≡ p;  p∨(p∧q) ≡ p</w:t>
      </w:r>
    </w:p>
    <w:p>
      <w:pPr>
        <w:pStyle w:val="ListParagraph"/>
        <w:numPr>
          <w:ilvl w:val="0"/>
          <w:numId w:val="2"/>
        </w:numPr>
        <w:spacing w:after="60"/>
      </w:pPr>
      <w:r>
        <w:t xml:space="preserve">Hằng đúng (tautology): p∨¬p luôn đúng. Hằng sai (contradiction): p∧¬p luôn sai.</w:t>
      </w:r>
    </w:p>
    <w:p>
      <w:pPr>
        <w:pStyle w:val="Heading2"/>
        <w:spacing w:after="150" w:before="300"/>
      </w:pPr>
      <w:r>
        <w:rPr>
          <w:b/>
          <w:bCs/>
          <w:color w:val="1F4E79"/>
          <w:sz w:val="26"/>
          <w:szCs w:val="26"/>
        </w:rPr>
        <w:t xml:space="preserve">5. Ví dụ bài tập có lời giải</w:t>
      </w:r>
    </w:p>
    <w:p>
      <w:pPr>
        <w:shd w:fill="1F4E79" w:val="clear"/>
        <w:spacing w:after="100" w:before="260"/>
      </w:pPr>
      <w:r>
        <w:rPr>
          <w:b/>
          <w:bCs/>
          <w:color w:val="FFFFFF"/>
          <w:sz w:val="22"/>
          <w:szCs w:val="22"/>
        </w:rPr>
        <w:t xml:space="preserve">Bài tập 1: Lập bảng chân trị và xác định hằng đúng</w:t>
      </w:r>
    </w:p>
    <w:p>
      <w:pPr>
        <w:spacing w:after="120"/>
      </w:pPr>
      <w:r>
        <w:t xml:space="preserve">Chứng minh biểu thức [(p→q)∧(q→r)] → (p→r) là một hằng đúng (tautology).</w:t>
      </w:r>
    </w:p>
    <w:p>
      <w:pPr>
        <w:shd w:fill="E2F0D9" w:val="clear"/>
        <w:spacing w:after="80" w:before="100"/>
      </w:pPr>
      <w:r>
        <w:rPr>
          <w:b/>
          <w:bCs/>
          <w:i/>
          <w:iCs/>
          <w:color w:val="375623"/>
          <w:sz w:val="22"/>
          <w:szCs w:val="22"/>
        </w:rPr>
        <w:t xml:space="preserve">Lời giải: Bài 1</w:t>
      </w:r>
    </w:p>
    <w:p>
      <w:pPr>
        <w:spacing w:after="120"/>
      </w:pPr>
      <w:r>
        <w:t xml:space="preserve">Ta lập bảng chân trị cho tất cả 8 tổ hợp của p, q,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tblHeader/>
        </w:trPr>
        <w:tc>
          <w:tcPr>
            <w:tcW w:type="dxa" w:w="1125"/>
            <w:shd w:fill="D9E2F3" w:val="clear"/>
            <w:vAlign w:val="center"/>
          </w:tcPr>
          <w:p>
            <w:pPr>
              <w:jc w:val="center"/>
            </w:pPr>
            <w:r>
              <w:rPr>
                <w:b/>
                <w:bCs/>
                <w:sz w:val="20"/>
                <w:szCs w:val="20"/>
              </w:rPr>
              <w:t xml:space="preserve">p</w:t>
            </w:r>
          </w:p>
        </w:tc>
        <w:tc>
          <w:tcPr>
            <w:tcW w:type="dxa" w:w="1125"/>
            <w:shd w:fill="D9E2F3" w:val="clear"/>
            <w:vAlign w:val="center"/>
          </w:tcPr>
          <w:p>
            <w:pPr>
              <w:jc w:val="center"/>
            </w:pPr>
            <w:r>
              <w:rPr>
                <w:b/>
                <w:bCs/>
                <w:sz w:val="20"/>
                <w:szCs w:val="20"/>
              </w:rPr>
              <w:t xml:space="preserve">q</w:t>
            </w:r>
          </w:p>
        </w:tc>
        <w:tc>
          <w:tcPr>
            <w:tcW w:type="dxa" w:w="1125"/>
            <w:shd w:fill="D9E2F3" w:val="clear"/>
            <w:vAlign w:val="center"/>
          </w:tcPr>
          <w:p>
            <w:pPr>
              <w:jc w:val="center"/>
            </w:pPr>
            <w:r>
              <w:rPr>
                <w:b/>
                <w:bCs/>
                <w:sz w:val="20"/>
                <w:szCs w:val="20"/>
              </w:rPr>
              <w:t xml:space="preserve">r</w:t>
            </w:r>
          </w:p>
        </w:tc>
        <w:tc>
          <w:tcPr>
            <w:tcW w:type="dxa" w:w="1125"/>
            <w:shd w:fill="D9E2F3" w:val="clear"/>
            <w:vAlign w:val="center"/>
          </w:tcPr>
          <w:p>
            <w:pPr>
              <w:jc w:val="center"/>
            </w:pPr>
            <w:r>
              <w:rPr>
                <w:b/>
                <w:bCs/>
                <w:sz w:val="20"/>
                <w:szCs w:val="20"/>
              </w:rPr>
              <w:t xml:space="preserve">p→q</w:t>
            </w:r>
          </w:p>
        </w:tc>
        <w:tc>
          <w:tcPr>
            <w:tcW w:type="dxa" w:w="1125"/>
            <w:shd w:fill="D9E2F3" w:val="clear"/>
            <w:vAlign w:val="center"/>
          </w:tcPr>
          <w:p>
            <w:pPr>
              <w:jc w:val="center"/>
            </w:pPr>
            <w:r>
              <w:rPr>
                <w:b/>
                <w:bCs/>
                <w:sz w:val="20"/>
                <w:szCs w:val="20"/>
              </w:rPr>
              <w:t xml:space="preserve">q→r</w:t>
            </w:r>
          </w:p>
        </w:tc>
        <w:tc>
          <w:tcPr>
            <w:tcW w:type="dxa" w:w="1125"/>
            <w:shd w:fill="D9E2F3" w:val="clear"/>
            <w:vAlign w:val="center"/>
          </w:tcPr>
          <w:p>
            <w:pPr>
              <w:jc w:val="center"/>
            </w:pPr>
            <w:r>
              <w:rPr>
                <w:b/>
                <w:bCs/>
                <w:sz w:val="20"/>
                <w:szCs w:val="20"/>
              </w:rPr>
              <w:t xml:space="preserve">(p→q)∧(q→r)</w:t>
            </w:r>
          </w:p>
        </w:tc>
        <w:tc>
          <w:tcPr>
            <w:tcW w:type="dxa" w:w="1125"/>
            <w:shd w:fill="D9E2F3" w:val="clear"/>
            <w:vAlign w:val="center"/>
          </w:tcPr>
          <w:p>
            <w:pPr>
              <w:jc w:val="center"/>
            </w:pPr>
            <w:r>
              <w:rPr>
                <w:b/>
                <w:bCs/>
                <w:sz w:val="20"/>
                <w:szCs w:val="20"/>
              </w:rPr>
              <w:t xml:space="preserve">p→r</w:t>
            </w:r>
          </w:p>
        </w:tc>
        <w:tc>
          <w:tcPr>
            <w:tcW w:type="dxa" w:w="1125"/>
            <w:shd w:fill="D9E2F3" w:val="clear"/>
            <w:vAlign w:val="center"/>
          </w:tcPr>
          <w:p>
            <w:pPr>
              <w:jc w:val="center"/>
            </w:pPr>
            <w:r>
              <w:rPr>
                <w:b/>
                <w:bCs/>
                <w:sz w:val="20"/>
                <w:szCs w:val="20"/>
              </w:rPr>
              <w:t xml:space="preserve">Kết quả</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r>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S</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c>
          <w:tcPr>
            <w:tcW w:type="dxa" w:w="1125"/>
            <w:vAlign w:val="center"/>
          </w:tcPr>
          <w:p>
            <w:pPr>
              <w:jc w:val="center"/>
            </w:pPr>
            <w:r>
              <w:rPr>
                <w:b w:val="false"/>
                <w:bCs w:val="false"/>
                <w:sz w:val="20"/>
                <w:szCs w:val="20"/>
              </w:rPr>
              <w:t xml:space="preserve">Đ</w:t>
            </w:r>
          </w:p>
        </w:tc>
      </w:tr>
    </w:tbl>
    <w:p>
      <w:pPr>
        <w:spacing w:after="120"/>
      </w:pPr>
      <w:r>
        <w:rPr>
          <w:i/>
          <w:iCs/>
        </w:rPr>
        <w:t xml:space="preserve">Cột "Kết quả" luôn là Đ (đúng) với mọi tổ hợp chân trị của p, q, r. Vậy biểu thức đã cho là hằng đúng. Đây chính là quy tắc suy luận "tam đoạn luận" (Hypothetical Syllogism): nếu p→q và q→r đều đúng thì p→r đúng.</w:t>
      </w:r>
    </w:p>
    <w:p>
      <w:pPr>
        <w:shd w:fill="1F4E79" w:val="clear"/>
        <w:spacing w:after="100" w:before="260"/>
      </w:pPr>
      <w:r>
        <w:rPr>
          <w:b/>
          <w:bCs/>
          <w:color w:val="FFFFFF"/>
          <w:sz w:val="22"/>
          <w:szCs w:val="22"/>
        </w:rPr>
        <w:t xml:space="preserve">Bài tập 2: Chứng minh luật De Morgan bằng bảng chân trị</w:t>
      </w:r>
    </w:p>
    <w:p>
      <w:pPr>
        <w:spacing w:after="120"/>
      </w:pPr>
      <w:r>
        <w:t xml:space="preserve">Chứng minh ¬(p∨q) ≡ ¬p∧¬q.</w:t>
      </w:r>
    </w:p>
    <w:p>
      <w:pPr>
        <w:shd w:fill="E2F0D9" w:val="clear"/>
        <w:spacing w:after="80" w:before="100"/>
      </w:pPr>
      <w:r>
        <w:rPr>
          <w:b/>
          <w:bCs/>
          <w:i/>
          <w:iCs/>
          <w:color w:val="375623"/>
          <w:sz w:val="22"/>
          <w:szCs w:val="22"/>
        </w:rPr>
        <w:t xml:space="preserve">Lời giải: Bài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D9E2F3" w:val="clear"/>
            <w:vAlign w:val="center"/>
          </w:tcPr>
          <w:p>
            <w:pPr>
              <w:jc w:val="center"/>
            </w:pPr>
            <w:r>
              <w:rPr>
                <w:b/>
                <w:bCs/>
                <w:sz w:val="20"/>
                <w:szCs w:val="20"/>
              </w:rPr>
              <w:t xml:space="preserve">p</w:t>
            </w:r>
          </w:p>
        </w:tc>
        <w:tc>
          <w:tcPr>
            <w:tcW w:type="dxa" w:w="1285"/>
            <w:shd w:fill="D9E2F3" w:val="clear"/>
            <w:vAlign w:val="center"/>
          </w:tcPr>
          <w:p>
            <w:pPr>
              <w:jc w:val="center"/>
            </w:pPr>
            <w:r>
              <w:rPr>
                <w:b/>
                <w:bCs/>
                <w:sz w:val="20"/>
                <w:szCs w:val="20"/>
              </w:rPr>
              <w:t xml:space="preserve">q</w:t>
            </w:r>
          </w:p>
        </w:tc>
        <w:tc>
          <w:tcPr>
            <w:tcW w:type="dxa" w:w="1285"/>
            <w:shd w:fill="D9E2F3" w:val="clear"/>
            <w:vAlign w:val="center"/>
          </w:tcPr>
          <w:p>
            <w:pPr>
              <w:jc w:val="center"/>
            </w:pPr>
            <w:r>
              <w:rPr>
                <w:b/>
                <w:bCs/>
                <w:sz w:val="20"/>
                <w:szCs w:val="20"/>
              </w:rPr>
              <w:t xml:space="preserve">p∨q</w:t>
            </w:r>
          </w:p>
        </w:tc>
        <w:tc>
          <w:tcPr>
            <w:tcW w:type="dxa" w:w="1285"/>
            <w:shd w:fill="D9E2F3" w:val="clear"/>
            <w:vAlign w:val="center"/>
          </w:tcPr>
          <w:p>
            <w:pPr>
              <w:jc w:val="center"/>
            </w:pPr>
            <w:r>
              <w:rPr>
                <w:b/>
                <w:bCs/>
                <w:sz w:val="20"/>
                <w:szCs w:val="20"/>
              </w:rPr>
              <w:t xml:space="preserve">¬(p∨q)</w:t>
            </w:r>
          </w:p>
        </w:tc>
        <w:tc>
          <w:tcPr>
            <w:tcW w:type="dxa" w:w="1285"/>
            <w:shd w:fill="D9E2F3" w:val="clear"/>
            <w:vAlign w:val="center"/>
          </w:tcPr>
          <w:p>
            <w:pPr>
              <w:jc w:val="center"/>
            </w:pPr>
            <w:r>
              <w:rPr>
                <w:b/>
                <w:bCs/>
                <w:sz w:val="20"/>
                <w:szCs w:val="20"/>
              </w:rPr>
              <w:t xml:space="preserve">¬p</w:t>
            </w:r>
          </w:p>
        </w:tc>
        <w:tc>
          <w:tcPr>
            <w:tcW w:type="dxa" w:w="1285"/>
            <w:shd w:fill="D9E2F3" w:val="clear"/>
            <w:vAlign w:val="center"/>
          </w:tcPr>
          <w:p>
            <w:pPr>
              <w:jc w:val="center"/>
            </w:pPr>
            <w:r>
              <w:rPr>
                <w:b/>
                <w:bCs/>
                <w:sz w:val="20"/>
                <w:szCs w:val="20"/>
              </w:rPr>
              <w:t xml:space="preserve">¬q</w:t>
            </w:r>
          </w:p>
        </w:tc>
        <w:tc>
          <w:tcPr>
            <w:tcW w:type="dxa" w:w="1285"/>
            <w:shd w:fill="D9E2F3" w:val="clear"/>
            <w:vAlign w:val="center"/>
          </w:tcPr>
          <w:p>
            <w:pPr>
              <w:jc w:val="center"/>
            </w:pPr>
            <w:r>
              <w:rPr>
                <w:b/>
                <w:bCs/>
                <w:sz w:val="20"/>
                <w:szCs w:val="20"/>
              </w:rPr>
              <w:t xml:space="preserve">¬p∧¬q</w:t>
            </w:r>
          </w:p>
        </w:tc>
      </w:tr>
      <w:tr>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r>
      <w:tr>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r>
      <w:tr>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r>
      <w:tr>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r>
    </w:tbl>
    <w:p>
      <w:pPr>
        <w:spacing w:after="120"/>
      </w:pPr>
      <w:r>
        <w:t xml:space="preserve">Cột ¬(p∨q) và cột ¬p∧¬q hoàn toàn trùng nhau ở mọi dòng ⇒ hai biểu thức tương đương logic. Luật De Morgan được chứng minh.</w:t>
      </w:r>
    </w:p>
    <w:p>
      <w:pPr>
        <w:shd w:fill="1F4E79" w:val="clear"/>
        <w:spacing w:after="100" w:before="260"/>
      </w:pPr>
      <w:r>
        <w:rPr>
          <w:b/>
          <w:bCs/>
          <w:color w:val="FFFFFF"/>
          <w:sz w:val="22"/>
          <w:szCs w:val="22"/>
        </w:rPr>
        <w:t xml:space="preserve">Bài tập 3: Đưa biểu thức về dạng chuẩn tắc hội (CNF)</w:t>
      </w:r>
    </w:p>
    <w:p>
      <w:pPr>
        <w:spacing w:after="120"/>
      </w:pPr>
      <w:r>
        <w:t xml:space="preserve">Đưa biểu thức p → (q∧¬r) về dạng chuẩn tắc hội (Conjunctive Normal Form – hội của các tuyển sơ cấp).</w:t>
      </w:r>
    </w:p>
    <w:p>
      <w:pPr>
        <w:shd w:fill="E2F0D9" w:val="clear"/>
        <w:spacing w:after="80" w:before="100"/>
      </w:pPr>
      <w:r>
        <w:rPr>
          <w:b/>
          <w:bCs/>
          <w:i/>
          <w:iCs/>
          <w:color w:val="375623"/>
          <w:sz w:val="22"/>
          <w:szCs w:val="22"/>
        </w:rPr>
        <w:t xml:space="preserve">Lời giải: Bài 3</w:t>
      </w:r>
    </w:p>
    <w:p>
      <w:pPr>
        <w:spacing w:after="120"/>
      </w:pPr>
      <w:r>
        <w:t xml:space="preserve">Bước 1 — Khử phép kéo theo: p→(q∧¬r) ≡ ¬p∨(q∧¬r)</w:t>
      </w:r>
    </w:p>
    <w:p>
      <w:pPr>
        <w:spacing w:after="120"/>
      </w:pPr>
      <w:r>
        <w:t xml:space="preserve">Bước 2 — Áp dụng luật phân phối ∨ với ∧: ¬p∨(q∧¬r) ≡ (¬p∨q)∧(¬p∨¬r)</w:t>
      </w:r>
    </w:p>
    <w:p>
      <w:pPr>
        <w:spacing w:after="120"/>
      </w:pPr>
      <w:r>
        <w:t xml:space="preserve">Bước 3 — Kết luận: đây đã là hội của hai tuyển sơ cấp, tức dạng CNF:</w:t>
      </w:r>
    </w:p>
    <w:p>
      <w:pPr>
        <w:spacing w:after="120"/>
        <w:jc w:val="center"/>
      </w:pPr>
      <w:r>
        <w:rPr>
          <w:rFonts w:ascii="Cambria Math" w:cs="Cambria Math" w:eastAsia="Cambria Math" w:hAnsi="Cambria Math"/>
          <w:i/>
          <w:iCs/>
          <w:sz w:val="24"/>
          <w:szCs w:val="24"/>
        </w:rPr>
        <w:t xml:space="preserve">(¬p ∨ q) ∧ (¬p ∨ ¬r)</w:t>
      </w:r>
    </w:p>
    <w:p>
      <w:pPr>
        <w:shd w:fill="1F4E79" w:val="clear"/>
        <w:spacing w:after="100" w:before="260"/>
      </w:pPr>
      <w:r>
        <w:rPr>
          <w:b/>
          <w:bCs/>
          <w:color w:val="FFFFFF"/>
          <w:sz w:val="22"/>
          <w:szCs w:val="22"/>
        </w:rPr>
        <w:t xml:space="preserve">Bài tập 4: Kiểm tra tính hợp lệ của suy luận</w:t>
      </w:r>
    </w:p>
    <w:p>
      <w:pPr>
        <w:spacing w:after="120"/>
      </w:pPr>
      <w:r>
        <w:t xml:space="preserve">Cho các tiền đề: (1) Nếu An học bài thì An thi đỗ (p→q). (2) An không thi đỗ (¬q). Hỏi suy luận "Vậy An không học bài" (¬p) có hợp lệ không?</w:t>
      </w:r>
    </w:p>
    <w:p>
      <w:pPr>
        <w:shd w:fill="E2F0D9" w:val="clear"/>
        <w:spacing w:after="80" w:before="100"/>
      </w:pPr>
      <w:r>
        <w:rPr>
          <w:b/>
          <w:bCs/>
          <w:i/>
          <w:iCs/>
          <w:color w:val="375623"/>
          <w:sz w:val="22"/>
          <w:szCs w:val="22"/>
        </w:rPr>
        <w:t xml:space="preserve">Lời giải: Bài 4</w:t>
      </w:r>
    </w:p>
    <w:p>
      <w:pPr>
        <w:spacing w:after="120"/>
      </w:pPr>
      <w:r>
        <w:t xml:space="preserve">Đây chính là dạng suy luận Modus Tollens: {p→q, ¬q} ⊢ ¬p. Ta kiểm tra bằng bảng chân trị xem [(p→q)∧¬q] → ¬p có phải hằng đúng không: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D9E2F3" w:val="clear"/>
            <w:vAlign w:val="center"/>
          </w:tcPr>
          <w:p>
            <w:pPr>
              <w:jc w:val="center"/>
            </w:pPr>
            <w:r>
              <w:rPr>
                <w:b/>
                <w:bCs/>
                <w:sz w:val="20"/>
                <w:szCs w:val="20"/>
              </w:rPr>
              <w:t xml:space="preserve">p</w:t>
            </w:r>
          </w:p>
        </w:tc>
        <w:tc>
          <w:tcPr>
            <w:tcW w:type="dxa" w:w="1285"/>
            <w:shd w:fill="D9E2F3" w:val="clear"/>
            <w:vAlign w:val="center"/>
          </w:tcPr>
          <w:p>
            <w:pPr>
              <w:jc w:val="center"/>
            </w:pPr>
            <w:r>
              <w:rPr>
                <w:b/>
                <w:bCs/>
                <w:sz w:val="20"/>
                <w:szCs w:val="20"/>
              </w:rPr>
              <w:t xml:space="preserve">q</w:t>
            </w:r>
          </w:p>
        </w:tc>
        <w:tc>
          <w:tcPr>
            <w:tcW w:type="dxa" w:w="1285"/>
            <w:shd w:fill="D9E2F3" w:val="clear"/>
            <w:vAlign w:val="center"/>
          </w:tcPr>
          <w:p>
            <w:pPr>
              <w:jc w:val="center"/>
            </w:pPr>
            <w:r>
              <w:rPr>
                <w:b/>
                <w:bCs/>
                <w:sz w:val="20"/>
                <w:szCs w:val="20"/>
              </w:rPr>
              <w:t xml:space="preserve">p→q</w:t>
            </w:r>
          </w:p>
        </w:tc>
        <w:tc>
          <w:tcPr>
            <w:tcW w:type="dxa" w:w="1285"/>
            <w:shd w:fill="D9E2F3" w:val="clear"/>
            <w:vAlign w:val="center"/>
          </w:tcPr>
          <w:p>
            <w:pPr>
              <w:jc w:val="center"/>
            </w:pPr>
            <w:r>
              <w:rPr>
                <w:b/>
                <w:bCs/>
                <w:sz w:val="20"/>
                <w:szCs w:val="20"/>
              </w:rPr>
              <w:t xml:space="preserve">¬q</w:t>
            </w:r>
          </w:p>
        </w:tc>
        <w:tc>
          <w:tcPr>
            <w:tcW w:type="dxa" w:w="1285"/>
            <w:shd w:fill="D9E2F3" w:val="clear"/>
            <w:vAlign w:val="center"/>
          </w:tcPr>
          <w:p>
            <w:pPr>
              <w:jc w:val="center"/>
            </w:pPr>
            <w:r>
              <w:rPr>
                <w:b/>
                <w:bCs/>
                <w:sz w:val="20"/>
                <w:szCs w:val="20"/>
              </w:rPr>
              <w:t xml:space="preserve">(p→q)∧¬q</w:t>
            </w:r>
          </w:p>
        </w:tc>
        <w:tc>
          <w:tcPr>
            <w:tcW w:type="dxa" w:w="1285"/>
            <w:shd w:fill="D9E2F3" w:val="clear"/>
            <w:vAlign w:val="center"/>
          </w:tcPr>
          <w:p>
            <w:pPr>
              <w:jc w:val="center"/>
            </w:pPr>
            <w:r>
              <w:rPr>
                <w:b/>
                <w:bCs/>
                <w:sz w:val="20"/>
                <w:szCs w:val="20"/>
              </w:rPr>
              <w:t xml:space="preserve">¬p</w:t>
            </w:r>
          </w:p>
        </w:tc>
        <w:tc>
          <w:tcPr>
            <w:tcW w:type="dxa" w:w="1285"/>
            <w:shd w:fill="D9E2F3" w:val="clear"/>
            <w:vAlign w:val="center"/>
          </w:tcPr>
          <w:p>
            <w:pPr>
              <w:jc w:val="center"/>
            </w:pPr>
            <w:r>
              <w:rPr>
                <w:b/>
                <w:bCs/>
                <w:sz w:val="20"/>
                <w:szCs w:val="20"/>
              </w:rPr>
              <w:t xml:space="preserve">Kéo theo</w:t>
            </w:r>
          </w:p>
        </w:tc>
      </w:tr>
      <w:tr>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r>
      <w:tr>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r>
      <w:tr>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r>
      <w:tr>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S</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c>
          <w:tcPr>
            <w:tcW w:type="dxa" w:w="1285"/>
            <w:vAlign w:val="center"/>
          </w:tcPr>
          <w:p>
            <w:pPr>
              <w:jc w:val="center"/>
            </w:pPr>
            <w:r>
              <w:rPr>
                <w:b w:val="false"/>
                <w:bCs w:val="false"/>
                <w:sz w:val="20"/>
                <w:szCs w:val="20"/>
              </w:rPr>
              <w:t xml:space="preserve">Đ</w:t>
            </w:r>
          </w:p>
        </w:tc>
      </w:tr>
    </w:tbl>
    <w:p>
      <w:pPr>
        <w:spacing w:after="120"/>
      </w:pPr>
      <w:r>
        <w:t xml:space="preserve">Cột cuối luôn là Đ ⇒ suy luận hợp lệ (valid). Vậy khẳng định "An không học bài" là kết luận logic đúng đắn từ hai tiền đề đã cho.</w:t>
      </w:r>
    </w:p>
    <w:p>
      <w:r>
        <w:br w:type="page"/>
      </w:r>
    </w:p>
    <w:p>
      <w:pPr>
        <w:pStyle w:val="Heading1"/>
        <w:pBdr>
          <w:bottom w:val="single" w:color="6A1B9A" w:sz="12" w:space="4"/>
        </w:pBdr>
        <w:spacing w:after="200" w:before="400"/>
      </w:pPr>
      <w:r>
        <w:rPr>
          <w:b/>
          <w:bCs/>
          <w:color w:val="6A1B9A"/>
          <w:sz w:val="32"/>
          <w:szCs w:val="32"/>
        </w:rPr>
        <w:t xml:space="preserve">PHẦN 2: LOGIC VỊ TỪ (PREDICATE LOGIC)</w:t>
      </w:r>
    </w:p>
    <w:p>
      <w:pPr>
        <w:pStyle w:val="Heading2"/>
        <w:spacing w:after="150" w:before="300"/>
      </w:pPr>
      <w:r>
        <w:rPr>
          <w:b/>
          <w:bCs/>
          <w:color w:val="6A1B9A"/>
          <w:sz w:val="26"/>
          <w:szCs w:val="26"/>
        </w:rPr>
        <w:t xml:space="preserve">1. Khái niệm vị từ và miền xác định</w:t>
      </w:r>
    </w:p>
    <w:p>
      <w:pPr>
        <w:spacing w:after="120"/>
      </w:pPr>
      <w:r>
        <w:t xml:space="preserve">Vị từ (predicate) là một khẳng định chứa biến, khi thay biến bằng giá trị cụ thể trong một miền xác định (domain) D thì trở thành mệnh đề có chân trị xác định.</w:t>
      </w:r>
    </w:p>
    <w:p>
      <w:pPr>
        <w:spacing w:after="120"/>
      </w:pPr>
      <w:r>
        <w:t xml:space="preserve">Ký hiệu: P(x): "x là số chẵn", Q(x,y): "x lớn hơn y". Vị từ có thể có một hoặc nhiều biến.</w:t>
      </w:r>
    </w:p>
    <w:p>
      <w:pPr>
        <w:pStyle w:val="Heading2"/>
        <w:spacing w:after="150" w:before="300"/>
      </w:pPr>
      <w:r>
        <w:rPr>
          <w:b/>
          <w:bCs/>
          <w:color w:val="6A1B9A"/>
          <w:sz w:val="26"/>
          <w:szCs w:val="26"/>
        </w:rPr>
        <w:t xml:space="preserve">2. Lượng từ (Quantifiers)</w:t>
      </w:r>
    </w:p>
    <w:p>
      <w:pPr>
        <w:pStyle w:val="ListParagraph"/>
        <w:numPr>
          <w:ilvl w:val="0"/>
          <w:numId w:val="2"/>
        </w:numPr>
        <w:spacing w:after="60"/>
      </w:pPr>
      <w:r>
        <w:t xml:space="preserve">Lượng từ phổ dụng (universal): ∀x P(x) — "với mọi x, P(x) đúng". Đúng khi P(x) đúng với mọi phần tử trong miền D.</w:t>
      </w:r>
    </w:p>
    <w:p>
      <w:pPr>
        <w:pStyle w:val="ListParagraph"/>
        <w:numPr>
          <w:ilvl w:val="0"/>
          <w:numId w:val="2"/>
        </w:numPr>
        <w:spacing w:after="60"/>
      </w:pPr>
      <w:r>
        <w:t xml:space="preserve">Lượng từ tồn tại (existential): ∃x P(x) — "tồn tại x sao cho P(x) đúng". Đúng khi có ít nhất một phần tử trong D làm P(x) đúng.</w:t>
      </w:r>
    </w:p>
    <w:p>
      <w:pPr>
        <w:pStyle w:val="ListParagraph"/>
        <w:numPr>
          <w:ilvl w:val="0"/>
          <w:numId w:val="2"/>
        </w:numPr>
        <w:spacing w:after="60"/>
      </w:pPr>
      <w:r>
        <w:t xml:space="preserve">Lượng từ tồn tại duy nhất: ∃!x P(x) — tồn tại đúng một x thỏa P(x).</w:t>
      </w:r>
    </w:p>
    <w:p>
      <w:pPr>
        <w:pStyle w:val="Heading2"/>
        <w:spacing w:after="150" w:before="300"/>
      </w:pPr>
      <w:r>
        <w:rPr>
          <w:b/>
          <w:bCs/>
          <w:color w:val="6A1B9A"/>
          <w:sz w:val="26"/>
          <w:szCs w:val="26"/>
        </w:rPr>
        <w:t xml:space="preserve">3. Phủ định lượng từ</w:t>
      </w:r>
    </w:p>
    <w:p>
      <w:pPr>
        <w:spacing w:after="120"/>
        <w:jc w:val="center"/>
      </w:pPr>
      <w:r>
        <w:rPr>
          <w:rFonts w:ascii="Cambria Math" w:cs="Cambria Math" w:eastAsia="Cambria Math" w:hAnsi="Cambria Math"/>
          <w:i/>
          <w:iCs/>
          <w:sz w:val="24"/>
          <w:szCs w:val="24"/>
        </w:rPr>
        <w:t xml:space="preserve">¬(∀x P(x)) ≡ ∃x ¬P(x)</w:t>
      </w:r>
    </w:p>
    <w:p>
      <w:pPr>
        <w:spacing w:after="120"/>
        <w:jc w:val="center"/>
      </w:pPr>
      <w:r>
        <w:rPr>
          <w:rFonts w:ascii="Cambria Math" w:cs="Cambria Math" w:eastAsia="Cambria Math" w:hAnsi="Cambria Math"/>
          <w:i/>
          <w:iCs/>
          <w:sz w:val="24"/>
          <w:szCs w:val="24"/>
        </w:rPr>
        <w:t xml:space="preserve">¬(∃x P(x)) ≡ ∀x ¬P(x)</w:t>
      </w:r>
    </w:p>
    <w:p>
      <w:pPr>
        <w:spacing w:after="120"/>
      </w:pPr>
      <w:r>
        <w:t xml:space="preserve">Quy tắc: khi phủ định, lượng từ ∀ đổi thành ∃ (và ngược lại), đồng thời phủ định vị từ bên trong.</w:t>
      </w:r>
    </w:p>
    <w:p>
      <w:pPr>
        <w:pStyle w:val="Heading2"/>
        <w:spacing w:after="150" w:before="300"/>
      </w:pPr>
      <w:r>
        <w:rPr>
          <w:b/>
          <w:bCs/>
          <w:color w:val="6A1B9A"/>
          <w:sz w:val="26"/>
          <w:szCs w:val="26"/>
        </w:rPr>
        <w:t xml:space="preserve">4. Lượng từ lồng nhau (Nested Quantifiers)</w:t>
      </w:r>
    </w:p>
    <w:p>
      <w:pPr>
        <w:spacing w:after="120"/>
      </w:pPr>
      <w:r>
        <w:t xml:space="preserve">Khi có nhiều biến, thứ tự các lượng từ khác nhau (đặc biệt khi trộn ∀ và ∃) có thể làm thay đổi ý nghĩa mệnh đề:</w:t>
      </w:r>
    </w:p>
    <w:p>
      <w:pPr>
        <w:pStyle w:val="ListParagraph"/>
        <w:numPr>
          <w:ilvl w:val="0"/>
          <w:numId w:val="2"/>
        </w:numPr>
        <w:spacing w:after="60"/>
      </w:pPr>
      <w:r>
        <w:t xml:space="preserve">∀x∃y P(x,y): với mỗi x luôn tìm được y (có thể khác nhau tùy x) sao cho P(x,y) đúng.</w:t>
      </w:r>
    </w:p>
    <w:p>
      <w:pPr>
        <w:pStyle w:val="ListParagraph"/>
        <w:numPr>
          <w:ilvl w:val="0"/>
          <w:numId w:val="2"/>
        </w:numPr>
        <w:spacing w:after="60"/>
      </w:pPr>
      <w:r>
        <w:t xml:space="preserve">∃y∀x P(x,y): tồn tại một y duy nhất dùng chung cho mọi x sao cho P(x,y) đúng. Đây là mệnh đề "mạnh hơn" mệnh đề trên.</w:t>
      </w:r>
    </w:p>
    <w:p>
      <w:pPr>
        <w:pStyle w:val="Heading2"/>
        <w:spacing w:after="150" w:before="300"/>
      </w:pPr>
      <w:r>
        <w:rPr>
          <w:b/>
          <w:bCs/>
          <w:color w:val="6A1B9A"/>
          <w:sz w:val="26"/>
          <w:szCs w:val="26"/>
        </w:rPr>
        <w:t xml:space="preserve">5. Ví dụ bài tập có lời giải</w:t>
      </w:r>
    </w:p>
    <w:p>
      <w:pPr>
        <w:shd w:fill="6A1B9A" w:val="clear"/>
        <w:spacing w:after="100" w:before="260"/>
      </w:pPr>
      <w:r>
        <w:rPr>
          <w:b/>
          <w:bCs/>
          <w:color w:val="FFFFFF"/>
          <w:sz w:val="22"/>
          <w:szCs w:val="22"/>
        </w:rPr>
        <w:t xml:space="preserve">Bài tập 1: Biểu diễn câu ngôn ngữ tự nhiên bằng logic vị từ</w:t>
      </w:r>
    </w:p>
    <w:p>
      <w:pPr>
        <w:spacing w:after="120"/>
      </w:pPr>
      <w:r>
        <w:t xml:space="preserve">Cho miền xác định là tập số thực. Biểu diễn câu: "Mọi số thực đều có một số đối của nó sao cho tổng của chúng bằng 0".</w:t>
      </w:r>
    </w:p>
    <w:p>
      <w:pPr>
        <w:shd w:fill="E2F0D9" w:val="clear"/>
        <w:spacing w:after="80" w:before="100"/>
      </w:pPr>
      <w:r>
        <w:rPr>
          <w:b/>
          <w:bCs/>
          <w:i/>
          <w:iCs/>
          <w:color w:val="375623"/>
          <w:sz w:val="22"/>
          <w:szCs w:val="22"/>
        </w:rPr>
        <w:t xml:space="preserve">Lời giải: Bài 1</w:t>
      </w:r>
    </w:p>
    <w:p>
      <w:pPr>
        <w:spacing w:after="120"/>
      </w:pPr>
      <w:r>
        <w:t xml:space="preserve">Đặt P(x,y): "x + y = 0". Câu trên được biểu diễn:</w:t>
      </w:r>
    </w:p>
    <w:p>
      <w:pPr>
        <w:spacing w:after="120"/>
        <w:jc w:val="center"/>
      </w:pPr>
      <w:r>
        <w:rPr>
          <w:rFonts w:ascii="Cambria Math" w:cs="Cambria Math" w:eastAsia="Cambria Math" w:hAnsi="Cambria Math"/>
          <w:i/>
          <w:iCs/>
          <w:sz w:val="24"/>
          <w:szCs w:val="24"/>
        </w:rPr>
        <w:t xml:space="preserve">∀x ∃y ( x + y = 0 )</w:t>
      </w:r>
    </w:p>
    <w:p>
      <w:pPr>
        <w:spacing w:after="120"/>
      </w:pPr>
      <w:r>
        <w:t xml:space="preserve">Giải thích: với mọi số thực x (∀x), tồn tại số thực y (∃y) sao cho x+y=0 — đây chính là y = -x.</w:t>
      </w:r>
    </w:p>
    <w:p>
      <w:pPr>
        <w:shd w:fill="6A1B9A" w:val="clear"/>
        <w:spacing w:after="100" w:before="260"/>
      </w:pPr>
      <w:r>
        <w:rPr>
          <w:b/>
          <w:bCs/>
          <w:color w:val="FFFFFF"/>
          <w:sz w:val="22"/>
          <w:szCs w:val="22"/>
        </w:rPr>
        <w:t xml:space="preserve">Bài tập 2: Phủ định mệnh đề chứa lượng từ</w:t>
      </w:r>
    </w:p>
    <w:p>
      <w:pPr>
        <w:spacing w:after="120"/>
      </w:pPr>
      <w:r>
        <w:t xml:space="preserve">Phủ định mệnh đề: ∀x ( P(x) → Q(x) ).</w:t>
      </w:r>
    </w:p>
    <w:p>
      <w:pPr>
        <w:shd w:fill="E2F0D9" w:val="clear"/>
        <w:spacing w:after="80" w:before="100"/>
      </w:pPr>
      <w:r>
        <w:rPr>
          <w:b/>
          <w:bCs/>
          <w:i/>
          <w:iCs/>
          <w:color w:val="375623"/>
          <w:sz w:val="22"/>
          <w:szCs w:val="22"/>
        </w:rPr>
        <w:t xml:space="preserve">Lời giải: Bài 2</w:t>
      </w:r>
    </w:p>
    <w:p>
      <w:pPr>
        <w:spacing w:after="120"/>
      </w:pPr>
      <w:r>
        <w:t xml:space="preserve">Bước 1: ¬(∀x (P(x)→Q(x))) ≡ ∃x ¬(P(x)→Q(x))  (đổi ∀ thành ∃)</w:t>
      </w:r>
    </w:p>
    <w:p>
      <w:pPr>
        <w:spacing w:after="120"/>
      </w:pPr>
      <w:r>
        <w:t xml:space="preserve">Bước 2: dùng p→q ≡ ¬p∨q, nên ¬(P(x)→Q(x)) ≡ ¬(¬P(x)∨Q(x)) ≡ P(x)∧¬Q(x)  (De Morgan)</w:t>
      </w:r>
    </w:p>
    <w:p>
      <w:pPr>
        <w:spacing w:after="120"/>
      </w:pPr>
      <w:r>
        <w:t xml:space="preserve">Kết luận:</w:t>
      </w:r>
    </w:p>
    <w:p>
      <w:pPr>
        <w:spacing w:after="120"/>
        <w:jc w:val="center"/>
      </w:pPr>
      <w:r>
        <w:rPr>
          <w:rFonts w:ascii="Cambria Math" w:cs="Cambria Math" w:eastAsia="Cambria Math" w:hAnsi="Cambria Math"/>
          <w:i/>
          <w:iCs/>
          <w:sz w:val="24"/>
          <w:szCs w:val="24"/>
        </w:rPr>
        <w:t xml:space="preserve">¬(∀x (P(x)→Q(x))) ≡ ∃x ( P(x) ∧ ¬Q(x) )</w:t>
      </w:r>
    </w:p>
    <w:p>
      <w:pPr>
        <w:spacing w:after="120"/>
      </w:pPr>
      <w:r>
        <w:t xml:space="preserve">Ý nghĩa: phủ định của "mọi x thỏa P thì thỏa Q" là "tồn tại x thỏa P nhưng không thỏa Q".</w:t>
      </w:r>
    </w:p>
    <w:p>
      <w:pPr>
        <w:shd w:fill="6A1B9A" w:val="clear"/>
        <w:spacing w:after="100" w:before="260"/>
      </w:pPr>
      <w:r>
        <w:rPr>
          <w:b/>
          <w:bCs/>
          <w:color w:val="FFFFFF"/>
          <w:sz w:val="22"/>
          <w:szCs w:val="22"/>
        </w:rPr>
        <w:t xml:space="preserve">Bài tập 3: Xác định chân trị trên miền cụ thể</w:t>
      </w:r>
    </w:p>
    <w:p>
      <w:pPr>
        <w:spacing w:after="120"/>
      </w:pPr>
      <w:r>
        <w:t xml:space="preserve">Cho miền D = {1, 2, 3, 4}. Vị từ P(x,y): "x &lt; y". Xác định chân trị của: a) ∀x∃y P(x,y)   b) ∃y∀x P(x,y).</w:t>
      </w:r>
    </w:p>
    <w:p>
      <w:pPr>
        <w:shd w:fill="E2F0D9" w:val="clear"/>
        <w:spacing w:after="80" w:before="100"/>
      </w:pPr>
      <w:r>
        <w:rPr>
          <w:b/>
          <w:bCs/>
          <w:i/>
          <w:iCs/>
          <w:color w:val="375623"/>
          <w:sz w:val="22"/>
          <w:szCs w:val="22"/>
        </w:rPr>
        <w:t xml:space="preserve">Lời giải: Bài 3</w:t>
      </w:r>
    </w:p>
    <w:p>
      <w:pPr>
        <w:spacing w:after="120"/>
      </w:pPr>
      <w:r>
        <w:t xml:space="preserve">a) ∀x∃y P(x,y): với mỗi x ∈ {1,2,3,4}, cần tìm y sao cho x&lt;y.</w:t>
      </w:r>
    </w:p>
    <w:p>
      <w:pPr>
        <w:pStyle w:val="ListParagraph"/>
        <w:numPr>
          <w:ilvl w:val="0"/>
          <w:numId w:val="2"/>
        </w:numPr>
        <w:spacing w:after="60"/>
      </w:pPr>
      <w:r>
        <w:t xml:space="preserve">x=1: chọn y=2 (1&lt;2) ✓</w:t>
      </w:r>
    </w:p>
    <w:p>
      <w:pPr>
        <w:pStyle w:val="ListParagraph"/>
        <w:numPr>
          <w:ilvl w:val="0"/>
          <w:numId w:val="2"/>
        </w:numPr>
        <w:spacing w:after="60"/>
      </w:pPr>
      <w:r>
        <w:t xml:space="preserve">x=2: chọn y=3 ✓</w:t>
      </w:r>
    </w:p>
    <w:p>
      <w:pPr>
        <w:pStyle w:val="ListParagraph"/>
        <w:numPr>
          <w:ilvl w:val="0"/>
          <w:numId w:val="2"/>
        </w:numPr>
        <w:spacing w:after="60"/>
      </w:pPr>
      <w:r>
        <w:t xml:space="preserve">x=3: chọn y=4 ✓</w:t>
      </w:r>
    </w:p>
    <w:p>
      <w:pPr>
        <w:pStyle w:val="ListParagraph"/>
        <w:numPr>
          <w:ilvl w:val="0"/>
          <w:numId w:val="2"/>
        </w:numPr>
        <w:spacing w:after="60"/>
      </w:pPr>
      <w:r>
        <w:t xml:space="preserve">x=4: cần y&gt;4 nhưng miền D chỉ có {1,2,3,4} ⇒ không tồn tại y ✗</w:t>
      </w:r>
    </w:p>
    <w:p>
      <w:pPr>
        <w:spacing w:after="120"/>
      </w:pPr>
      <w:r>
        <w:t xml:space="preserve">Vậy ∀x∃y P(x,y) = SAI (vì x=4 không tìm được y phù hợp).</w:t>
      </w:r>
    </w:p>
    <w:p>
      <w:pPr>
        <w:spacing w:after="120"/>
      </w:pPr>
      <w:r>
        <w:t xml:space="preserve">b) ∃y∀x P(x,y): cần một y cố định sao cho x&lt;y đúng với MỌI x∈{1,2,3,4}, kể cả x=4 ⇒ cần y&gt;4, không tồn tại trong D.</w:t>
      </w:r>
    </w:p>
    <w:p>
      <w:pPr>
        <w:spacing w:after="120"/>
      </w:pPr>
      <w:r>
        <w:t xml:space="preserve">Vậy ∃y∀x P(x,y) = SAI. (Nhận xét: cả hai đều sai, nhưng nói chung ∃y∀x P(x,y) → ∀x∃y P(x,y) luôn đúng, chiều ngược lại không chắc đúng — đây là ví dụ minh họa sự khác biệt thứ tự lượng từ.)</w:t>
      </w:r>
    </w:p>
    <w:p>
      <w:pPr>
        <w:shd w:fill="6A1B9A" w:val="clear"/>
        <w:spacing w:after="100" w:before="260"/>
      </w:pPr>
      <w:r>
        <w:rPr>
          <w:b/>
          <w:bCs/>
          <w:color w:val="FFFFFF"/>
          <w:sz w:val="22"/>
          <w:szCs w:val="22"/>
        </w:rPr>
        <w:t xml:space="preserve">Bài tập 4: Suy luận với lượng từ (Universal Instantiation)</w:t>
      </w:r>
    </w:p>
    <w:p>
      <w:pPr>
        <w:spacing w:after="120"/>
      </w:pPr>
      <w:r>
        <w:t xml:space="preserve">Cho tiền đề: "Mọi sinh viên học Toán rời rạc đều biết logic vị từ" và "Hùng là sinh viên học Toán rời rạc". Chứng minh "Hùng biết logic vị từ".</w:t>
      </w:r>
    </w:p>
    <w:p>
      <w:pPr>
        <w:shd w:fill="E2F0D9" w:val="clear"/>
        <w:spacing w:after="80" w:before="100"/>
      </w:pPr>
      <w:r>
        <w:rPr>
          <w:b/>
          <w:bCs/>
          <w:i/>
          <w:iCs/>
          <w:color w:val="375623"/>
          <w:sz w:val="22"/>
          <w:szCs w:val="22"/>
        </w:rPr>
        <w:t xml:space="preserve">Lời giải: Bài 4</w:t>
      </w:r>
    </w:p>
    <w:p>
      <w:pPr>
        <w:spacing w:after="120"/>
      </w:pPr>
      <w:r>
        <w:t xml:space="preserve">Gọi S(x): "x là sinh viên học Toán rời rạc", L(x): "x biết logic vị từ", a = Hùng.</w:t>
      </w:r>
    </w:p>
    <w:p>
      <w:pPr>
        <w:spacing w:after="120"/>
      </w:pPr>
      <w:r>
        <w:t xml:space="preserve">Tiền đề 1: ∀x (S(x) → L(x))</w:t>
      </w:r>
    </w:p>
    <w:p>
      <w:pPr>
        <w:spacing w:after="120"/>
      </w:pPr>
      <w:r>
        <w:t xml:space="preserve">Tiền đề 2: S(a)</w:t>
      </w:r>
    </w:p>
    <w:p>
      <w:pPr>
        <w:spacing w:after="120"/>
      </w:pPr>
      <w:r>
        <w:t xml:space="preserve">Áp dụng quy tắc Universal Instantiation (thay x = a vào tiền đề 1): S(a) → L(a)</w:t>
      </w:r>
    </w:p>
    <w:p>
      <w:pPr>
        <w:spacing w:after="120"/>
      </w:pPr>
      <w:r>
        <w:t xml:space="preserve">Kết hợp với tiền đề 2 (S(a) đúng) theo Modus Ponens: L(a) đúng.</w:t>
      </w:r>
    </w:p>
    <w:p>
      <w:pPr>
        <w:spacing w:after="120"/>
      </w:pPr>
      <w:r>
        <w:t xml:space="preserve">Vậy: Hùng biết logic vị từ. □</w:t>
      </w:r>
    </w:p>
    <w:p>
      <w:r>
        <w:br w:type="page"/>
      </w:r>
    </w:p>
    <w:p>
      <w:pPr>
        <w:pStyle w:val="Heading1"/>
        <w:pBdr>
          <w:bottom w:val="single" w:color="B45309" w:sz="12" w:space="4"/>
        </w:pBdr>
        <w:spacing w:after="200" w:before="400"/>
      </w:pPr>
      <w:r>
        <w:rPr>
          <w:b/>
          <w:bCs/>
          <w:color w:val="B45309"/>
          <w:sz w:val="32"/>
          <w:szCs w:val="32"/>
        </w:rPr>
        <w:t xml:space="preserve">PHẦN 3: LOGIC MỜ (FUZZY LOGIC)</w:t>
      </w:r>
    </w:p>
    <w:p>
      <w:pPr>
        <w:pStyle w:val="Heading2"/>
        <w:spacing w:after="150" w:before="300"/>
      </w:pPr>
      <w:r>
        <w:rPr>
          <w:b/>
          <w:bCs/>
          <w:color w:val="B45309"/>
          <w:sz w:val="26"/>
          <w:szCs w:val="26"/>
        </w:rPr>
        <w:t xml:space="preserve">1. Tập mờ và hàm thuộc (Membership Function)</w:t>
      </w:r>
    </w:p>
    <w:p>
      <w:pPr>
        <w:spacing w:after="120"/>
      </w:pPr>
      <w:r>
        <w:t xml:space="preserve">Trong logic kinh điển, một phần tử hoặc thuộc (1) hoặc không thuộc (0) một tập hợp. Trong logic mờ, mỗi phần tử x có một độ thuộc (degree of membership) μ_A(x) ∈ [0, 1] thể hiện mức độ x thuộc về tập mờ A.</w:t>
      </w:r>
    </w:p>
    <w:p>
      <w:pPr>
        <w:spacing w:after="120"/>
        <w:jc w:val="center"/>
      </w:pPr>
      <w:r>
        <w:rPr>
          <w:rFonts w:ascii="Cambria Math" w:cs="Cambria Math" w:eastAsia="Cambria Math" w:hAnsi="Cambria Math"/>
          <w:i/>
          <w:iCs/>
          <w:sz w:val="24"/>
          <w:szCs w:val="24"/>
        </w:rPr>
        <w:t xml:space="preserve">A = { (x, μ_A(x)) | x ∈ X },   μ_A(x) ∈ [0,1]</w:t>
      </w:r>
    </w:p>
    <w:p>
      <w:pPr>
        <w:spacing w:after="120"/>
      </w:pPr>
      <w:r>
        <w:t xml:space="preserve">X gọi là tập vũ trụ (universe of discourse). Khi μ_A(x) chỉ nhận giá trị 0 hoặc 1, tập mờ trở thành tập rõ (crisp set) thông thường.</w:t>
      </w:r>
    </w:p>
    <w:p>
      <w:pPr>
        <w:pStyle w:val="Heading2"/>
        <w:spacing w:after="150" w:before="300"/>
      </w:pPr>
      <w:r>
        <w:rPr>
          <w:b/>
          <w:bCs/>
          <w:color w:val="B45309"/>
          <w:sz w:val="26"/>
          <w:szCs w:val="26"/>
        </w:rPr>
        <w:t xml:space="preserve">2. Các dạng hàm thuộc thường dùng</w:t>
      </w:r>
    </w:p>
    <w:p>
      <w:pPr>
        <w:spacing w:after="100" w:before="200"/>
      </w:pPr>
      <w:r>
        <w:rPr>
          <w:b/>
          <w:bCs/>
          <w:color w:val="B45309"/>
          <w:sz w:val="24"/>
          <w:szCs w:val="24"/>
        </w:rPr>
        <w:t xml:space="preserve">Hàm thuộc tam giác (Triangular)</w:t>
      </w:r>
    </w:p>
    <w:p>
      <w:pPr>
        <w:spacing w:after="120"/>
        <w:jc w:val="center"/>
      </w:pPr>
      <w:r>
        <w:rPr>
          <w:rFonts w:ascii="Cambria Math" w:cs="Cambria Math" w:eastAsia="Cambria Math" w:hAnsi="Cambria Math"/>
          <w:i/>
          <w:iCs/>
          <w:sz w:val="24"/>
          <w:szCs w:val="24"/>
        </w:rPr>
        <w:t xml:space="preserve">μ(x) = max( min( (x-a)/(b-a), (c-x)/(c-b) ), 0 )</w:t>
      </w:r>
    </w:p>
    <w:p>
      <w:pPr>
        <w:spacing w:after="120"/>
      </w:pPr>
      <w:r>
        <w:t xml:space="preserve">với a ≤ b ≤ c: a, c là hai cạnh đáy (μ=0), b là đỉnh (μ=1).</w:t>
      </w:r>
    </w:p>
    <w:p>
      <w:pPr>
        <w:spacing w:after="100" w:before="200"/>
      </w:pPr>
      <w:r>
        <w:rPr>
          <w:b/>
          <w:bCs/>
          <w:color w:val="B45309"/>
          <w:sz w:val="24"/>
          <w:szCs w:val="24"/>
        </w:rPr>
        <w:t xml:space="preserve">Hàm thuộc hình thang (Trapezoidal)</w:t>
      </w:r>
    </w:p>
    <w:p>
      <w:pPr>
        <w:spacing w:after="120"/>
        <w:jc w:val="center"/>
      </w:pPr>
      <w:r>
        <w:rPr>
          <w:rFonts w:ascii="Cambria Math" w:cs="Cambria Math" w:eastAsia="Cambria Math" w:hAnsi="Cambria Math"/>
          <w:i/>
          <w:iCs/>
          <w:sz w:val="24"/>
          <w:szCs w:val="24"/>
        </w:rPr>
        <w:t xml:space="preserve">μ(x) = max( min( (x-a)/(b-a), 1, (d-x)/(d-c) ), 0 )</w:t>
      </w:r>
    </w:p>
    <w:p>
      <w:pPr>
        <w:spacing w:after="120"/>
      </w:pPr>
      <w:r>
        <w:t xml:space="preserve">với a ≤ b ≤ c ≤ d: [b,c] là đoạn có μ=1.</w:t>
      </w:r>
    </w:p>
    <w:p>
      <w:pPr>
        <w:pStyle w:val="Heading2"/>
        <w:spacing w:after="150" w:before="300"/>
      </w:pPr>
      <w:r>
        <w:rPr>
          <w:b/>
          <w:bCs/>
          <w:color w:val="B45309"/>
          <w:sz w:val="26"/>
          <w:szCs w:val="26"/>
        </w:rPr>
        <w:t xml:space="preserve">3. Các phép toán trên tập mờ (theo Zadeh)</w:t>
      </w:r>
    </w:p>
    <w:p>
      <w:pPr>
        <w:pStyle w:val="ListParagraph"/>
        <w:numPr>
          <w:ilvl w:val="0"/>
          <w:numId w:val="2"/>
        </w:numPr>
        <w:spacing w:after="60"/>
      </w:pPr>
      <w:r>
        <w:t xml:space="preserve">Hợp (Union): μ_(A∪B)(x) = max( μ_A(x), μ_B(x) )</w:t>
      </w:r>
    </w:p>
    <w:p>
      <w:pPr>
        <w:pStyle w:val="ListParagraph"/>
        <w:numPr>
          <w:ilvl w:val="0"/>
          <w:numId w:val="2"/>
        </w:numPr>
        <w:spacing w:after="60"/>
      </w:pPr>
      <w:r>
        <w:t xml:space="preserve">Giao (Intersection): μ_(A∩B)(x) = min( μ_A(x), μ_B(x) )</w:t>
      </w:r>
    </w:p>
    <w:p>
      <w:pPr>
        <w:pStyle w:val="ListParagraph"/>
        <w:numPr>
          <w:ilvl w:val="0"/>
          <w:numId w:val="2"/>
        </w:numPr>
        <w:spacing w:after="60"/>
      </w:pPr>
      <w:r>
        <w:t xml:space="preserve">Phần bù (Complement): μ_(¬A)(x) = 1 − μ_A(x)</w:t>
      </w:r>
    </w:p>
    <w:p>
      <w:pPr>
        <w:pStyle w:val="Heading2"/>
        <w:spacing w:after="150" w:before="300"/>
      </w:pPr>
      <w:r>
        <w:rPr>
          <w:b/>
          <w:bCs/>
          <w:color w:val="B45309"/>
          <w:sz w:val="26"/>
          <w:szCs w:val="26"/>
        </w:rPr>
        <w:t xml:space="preserve">4. Suy luận mờ (Fuzzy Inference) — luật IF–THEN</w:t>
      </w:r>
    </w:p>
    <w:p>
      <w:pPr>
        <w:spacing w:after="120"/>
      </w:pPr>
      <w:r>
        <w:t xml:space="preserve">Hệ suy luận mờ Mamdani gồm các bước: (1) Mờ hóa (fuzzification) đầu vào rõ thành độ thuộc, (2) Áp dụng các luật mờ IF-THEN, (3) Kết hợp (aggregation) các luật, (4) Giải mờ (defuzzification) để ra kết quả rõ, thường dùng phương pháp trọng tâm (centroid).</w:t>
      </w:r>
    </w:p>
    <w:p>
      <w:pPr>
        <w:pStyle w:val="Heading2"/>
        <w:spacing w:after="150" w:before="300"/>
      </w:pPr>
      <w:r>
        <w:rPr>
          <w:b/>
          <w:bCs/>
          <w:color w:val="B45309"/>
          <w:sz w:val="26"/>
          <w:szCs w:val="26"/>
        </w:rPr>
        <w:t xml:space="preserve">5. Ví dụ bài tập có lời giải</w:t>
      </w:r>
    </w:p>
    <w:p>
      <w:pPr>
        <w:shd w:fill="B45309" w:val="clear"/>
        <w:spacing w:after="100" w:before="260"/>
      </w:pPr>
      <w:r>
        <w:rPr>
          <w:b/>
          <w:bCs/>
          <w:color w:val="FFFFFF"/>
          <w:sz w:val="22"/>
          <w:szCs w:val="22"/>
        </w:rPr>
        <w:t xml:space="preserve">Bài tập 1: Tính độ thuộc với hàm tam giác</w:t>
      </w:r>
    </w:p>
    <w:p>
      <w:pPr>
        <w:spacing w:after="120"/>
      </w:pPr>
      <w:r>
        <w:t xml:space="preserve">Cho tập mờ "Nhiệt độ ấm" có hàm thuộc tam giác với a=20, b=25, c=30 (đơn vị °C). Tính độ thuộc của x = 22°C và x = 27°C.</w:t>
      </w:r>
    </w:p>
    <w:p>
      <w:pPr>
        <w:shd w:fill="E2F0D9" w:val="clear"/>
        <w:spacing w:after="80" w:before="100"/>
      </w:pPr>
      <w:r>
        <w:rPr>
          <w:b/>
          <w:bCs/>
          <w:i/>
          <w:iCs/>
          <w:color w:val="375623"/>
          <w:sz w:val="22"/>
          <w:szCs w:val="22"/>
        </w:rPr>
        <w:t xml:space="preserve">Lời giải: Bài 1</w:t>
      </w:r>
    </w:p>
    <w:p>
      <w:pPr>
        <w:spacing w:after="120"/>
      </w:pPr>
      <w:r>
        <w:t xml:space="preserve">Vì 20 ≤ 22 ≤ 25 (nhánh trái, tăng dần):</w:t>
      </w:r>
    </w:p>
    <w:p>
      <w:pPr>
        <w:spacing w:after="120"/>
        <w:jc w:val="center"/>
      </w:pPr>
      <w:r>
        <w:rPr>
          <w:rFonts w:ascii="Cambria Math" w:cs="Cambria Math" w:eastAsia="Cambria Math" w:hAnsi="Cambria Math"/>
          <w:i/>
          <w:iCs/>
          <w:sz w:val="24"/>
          <w:szCs w:val="24"/>
        </w:rPr>
        <w:t xml:space="preserve">μ(22) = (22 − 20) / (25 − 20) = 2/5 = 0.4</w:t>
      </w:r>
    </w:p>
    <w:p>
      <w:pPr>
        <w:spacing w:after="120"/>
      </w:pPr>
      <w:r>
        <w:t xml:space="preserve">Vì 25 ≤ 27 ≤ 30 (nhánh phải, giảm dần):</w:t>
      </w:r>
    </w:p>
    <w:p>
      <w:pPr>
        <w:spacing w:after="120"/>
        <w:jc w:val="center"/>
      </w:pPr>
      <w:r>
        <w:rPr>
          <w:rFonts w:ascii="Cambria Math" w:cs="Cambria Math" w:eastAsia="Cambria Math" w:hAnsi="Cambria Math"/>
          <w:i/>
          <w:iCs/>
          <w:sz w:val="24"/>
          <w:szCs w:val="24"/>
        </w:rPr>
        <w:t xml:space="preserve">μ(27) = (30 − 27) / (30 − 25) = 3/5 = 0.6</w:t>
      </w:r>
    </w:p>
    <w:p>
      <w:pPr>
        <w:spacing w:after="120"/>
      </w:pPr>
      <w:r>
        <w:t xml:space="preserve">Vậy tại 22°C, độ thuộc vào tập "ấm" là 0.4 (thuộc ít); tại 27°C là 0.6 (thuộc nhiều hơn, gần đỉnh tam giác b=25 hơn).</w:t>
      </w:r>
    </w:p>
    <w:p>
      <w:pPr>
        <w:shd w:fill="B45309" w:val="clear"/>
        <w:spacing w:after="100" w:before="260"/>
      </w:pPr>
      <w:r>
        <w:rPr>
          <w:b/>
          <w:bCs/>
          <w:color w:val="FFFFFF"/>
          <w:sz w:val="22"/>
          <w:szCs w:val="22"/>
        </w:rPr>
        <w:t xml:space="preserve">Bài tập 2: Tính hợp và giao của hai tập mờ</w:t>
      </w:r>
    </w:p>
    <w:p>
      <w:pPr>
        <w:spacing w:after="120"/>
      </w:pPr>
      <w:r>
        <w:t xml:space="preserve">Cho hai tập mờ trên cùng vũ trụ X = {x1, x2, x3, x4} với: μ_A = (0.2, 0.5, 0.8, 1.0) và μ_B = (0.6, 0.4, 0.3, 0.9). Tính μ_(A∪B), μ_(A∩B), μ_(¬A).</w:t>
      </w:r>
    </w:p>
    <w:p>
      <w:pPr>
        <w:shd w:fill="E2F0D9" w:val="clear"/>
        <w:spacing w:after="80" w:before="100"/>
      </w:pPr>
      <w:r>
        <w:rPr>
          <w:b/>
          <w:bCs/>
          <w:i/>
          <w:iCs/>
          <w:color w:val="375623"/>
          <w:sz w:val="22"/>
          <w:szCs w:val="22"/>
        </w:rPr>
        <w:t xml:space="preserve">Lời giải: Bài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val="clear"/>
            <w:vAlign w:val="center"/>
          </w:tcPr>
          <w:p>
            <w:pPr>
              <w:jc w:val="center"/>
            </w:pPr>
            <w:r>
              <w:rPr>
                <w:b/>
                <w:bCs/>
                <w:sz w:val="20"/>
                <w:szCs w:val="20"/>
              </w:rPr>
              <w:t xml:space="preserve">x</w:t>
            </w:r>
          </w:p>
        </w:tc>
        <w:tc>
          <w:tcPr>
            <w:tcW w:type="dxa" w:w="1500"/>
            <w:shd w:fill="D9E2F3" w:val="clear"/>
            <w:vAlign w:val="center"/>
          </w:tcPr>
          <w:p>
            <w:pPr>
              <w:jc w:val="center"/>
            </w:pPr>
            <w:r>
              <w:rPr>
                <w:b/>
                <w:bCs/>
                <w:sz w:val="20"/>
                <w:szCs w:val="20"/>
              </w:rPr>
              <w:t xml:space="preserve">μ_A</w:t>
            </w:r>
          </w:p>
        </w:tc>
        <w:tc>
          <w:tcPr>
            <w:tcW w:type="dxa" w:w="1500"/>
            <w:shd w:fill="D9E2F3" w:val="clear"/>
            <w:vAlign w:val="center"/>
          </w:tcPr>
          <w:p>
            <w:pPr>
              <w:jc w:val="center"/>
            </w:pPr>
            <w:r>
              <w:rPr>
                <w:b/>
                <w:bCs/>
                <w:sz w:val="20"/>
                <w:szCs w:val="20"/>
              </w:rPr>
              <w:t xml:space="preserve">μ_B</w:t>
            </w:r>
          </w:p>
        </w:tc>
        <w:tc>
          <w:tcPr>
            <w:tcW w:type="dxa" w:w="1500"/>
            <w:shd w:fill="D9E2F3" w:val="clear"/>
            <w:vAlign w:val="center"/>
          </w:tcPr>
          <w:p>
            <w:pPr>
              <w:jc w:val="center"/>
            </w:pPr>
            <w:r>
              <w:rPr>
                <w:b/>
                <w:bCs/>
                <w:sz w:val="20"/>
                <w:szCs w:val="20"/>
              </w:rPr>
              <w:t xml:space="preserve">μ_(A∪B)=max</w:t>
            </w:r>
          </w:p>
        </w:tc>
        <w:tc>
          <w:tcPr>
            <w:tcW w:type="dxa" w:w="1500"/>
            <w:shd w:fill="D9E2F3" w:val="clear"/>
            <w:vAlign w:val="center"/>
          </w:tcPr>
          <w:p>
            <w:pPr>
              <w:jc w:val="center"/>
            </w:pPr>
            <w:r>
              <w:rPr>
                <w:b/>
                <w:bCs/>
                <w:sz w:val="20"/>
                <w:szCs w:val="20"/>
              </w:rPr>
              <w:t xml:space="preserve">μ_(A∩B)=min</w:t>
            </w:r>
          </w:p>
        </w:tc>
        <w:tc>
          <w:tcPr>
            <w:tcW w:type="dxa" w:w="1500"/>
            <w:shd w:fill="D9E2F3" w:val="clear"/>
            <w:vAlign w:val="center"/>
          </w:tcPr>
          <w:p>
            <w:pPr>
              <w:jc w:val="center"/>
            </w:pPr>
            <w:r>
              <w:rPr>
                <w:b/>
                <w:bCs/>
                <w:sz w:val="20"/>
                <w:szCs w:val="20"/>
              </w:rPr>
              <w:t xml:space="preserve">μ_(¬A)=1−μ_A</w:t>
            </w:r>
          </w:p>
        </w:tc>
      </w:tr>
      <w:tr>
        <w:tc>
          <w:tcPr>
            <w:tcW w:type="dxa" w:w="1500"/>
            <w:vAlign w:val="center"/>
          </w:tcPr>
          <w:p>
            <w:pPr>
              <w:jc w:val="center"/>
            </w:pPr>
            <w:r>
              <w:rPr>
                <w:b w:val="false"/>
                <w:bCs w:val="false"/>
                <w:sz w:val="20"/>
                <w:szCs w:val="20"/>
              </w:rPr>
              <w:t xml:space="preserve">x1</w:t>
            </w:r>
          </w:p>
        </w:tc>
        <w:tc>
          <w:tcPr>
            <w:tcW w:type="dxa" w:w="1500"/>
            <w:vAlign w:val="center"/>
          </w:tcPr>
          <w:p>
            <w:pPr>
              <w:jc w:val="center"/>
            </w:pPr>
            <w:r>
              <w:rPr>
                <w:b w:val="false"/>
                <w:bCs w:val="false"/>
                <w:sz w:val="20"/>
                <w:szCs w:val="20"/>
              </w:rPr>
              <w:t xml:space="preserve">0.2</w:t>
            </w:r>
          </w:p>
        </w:tc>
        <w:tc>
          <w:tcPr>
            <w:tcW w:type="dxa" w:w="1500"/>
            <w:vAlign w:val="center"/>
          </w:tcPr>
          <w:p>
            <w:pPr>
              <w:jc w:val="center"/>
            </w:pPr>
            <w:r>
              <w:rPr>
                <w:b w:val="false"/>
                <w:bCs w:val="false"/>
                <w:sz w:val="20"/>
                <w:szCs w:val="20"/>
              </w:rPr>
              <w:t xml:space="preserve">0.6</w:t>
            </w:r>
          </w:p>
        </w:tc>
        <w:tc>
          <w:tcPr>
            <w:tcW w:type="dxa" w:w="1500"/>
            <w:vAlign w:val="center"/>
          </w:tcPr>
          <w:p>
            <w:pPr>
              <w:jc w:val="center"/>
            </w:pPr>
            <w:r>
              <w:rPr>
                <w:b w:val="false"/>
                <w:bCs w:val="false"/>
                <w:sz w:val="20"/>
                <w:szCs w:val="20"/>
              </w:rPr>
              <w:t xml:space="preserve">0.6</w:t>
            </w:r>
          </w:p>
        </w:tc>
        <w:tc>
          <w:tcPr>
            <w:tcW w:type="dxa" w:w="1500"/>
            <w:vAlign w:val="center"/>
          </w:tcPr>
          <w:p>
            <w:pPr>
              <w:jc w:val="center"/>
            </w:pPr>
            <w:r>
              <w:rPr>
                <w:b w:val="false"/>
                <w:bCs w:val="false"/>
                <w:sz w:val="20"/>
                <w:szCs w:val="20"/>
              </w:rPr>
              <w:t xml:space="preserve">0.2</w:t>
            </w:r>
          </w:p>
        </w:tc>
        <w:tc>
          <w:tcPr>
            <w:tcW w:type="dxa" w:w="1500"/>
            <w:vAlign w:val="center"/>
          </w:tcPr>
          <w:p>
            <w:pPr>
              <w:jc w:val="center"/>
            </w:pPr>
            <w:r>
              <w:rPr>
                <w:b w:val="false"/>
                <w:bCs w:val="false"/>
                <w:sz w:val="20"/>
                <w:szCs w:val="20"/>
              </w:rPr>
              <w:t xml:space="preserve">0.8</w:t>
            </w:r>
          </w:p>
        </w:tc>
      </w:tr>
      <w:tr>
        <w:tc>
          <w:tcPr>
            <w:tcW w:type="dxa" w:w="1500"/>
            <w:vAlign w:val="center"/>
          </w:tcPr>
          <w:p>
            <w:pPr>
              <w:jc w:val="center"/>
            </w:pPr>
            <w:r>
              <w:rPr>
                <w:b w:val="false"/>
                <w:bCs w:val="false"/>
                <w:sz w:val="20"/>
                <w:szCs w:val="20"/>
              </w:rPr>
              <w:t xml:space="preserve">x2</w:t>
            </w:r>
          </w:p>
        </w:tc>
        <w:tc>
          <w:tcPr>
            <w:tcW w:type="dxa" w:w="1500"/>
            <w:vAlign w:val="center"/>
          </w:tcPr>
          <w:p>
            <w:pPr>
              <w:jc w:val="center"/>
            </w:pPr>
            <w:r>
              <w:rPr>
                <w:b w:val="false"/>
                <w:bCs w:val="false"/>
                <w:sz w:val="20"/>
                <w:szCs w:val="20"/>
              </w:rPr>
              <w:t xml:space="preserve">0.5</w:t>
            </w:r>
          </w:p>
        </w:tc>
        <w:tc>
          <w:tcPr>
            <w:tcW w:type="dxa" w:w="1500"/>
            <w:vAlign w:val="center"/>
          </w:tcPr>
          <w:p>
            <w:pPr>
              <w:jc w:val="center"/>
            </w:pPr>
            <w:r>
              <w:rPr>
                <w:b w:val="false"/>
                <w:bCs w:val="false"/>
                <w:sz w:val="20"/>
                <w:szCs w:val="20"/>
              </w:rPr>
              <w:t xml:space="preserve">0.4</w:t>
            </w:r>
          </w:p>
        </w:tc>
        <w:tc>
          <w:tcPr>
            <w:tcW w:type="dxa" w:w="1500"/>
            <w:vAlign w:val="center"/>
          </w:tcPr>
          <w:p>
            <w:pPr>
              <w:jc w:val="center"/>
            </w:pPr>
            <w:r>
              <w:rPr>
                <w:b w:val="false"/>
                <w:bCs w:val="false"/>
                <w:sz w:val="20"/>
                <w:szCs w:val="20"/>
              </w:rPr>
              <w:t xml:space="preserve">0.5</w:t>
            </w:r>
          </w:p>
        </w:tc>
        <w:tc>
          <w:tcPr>
            <w:tcW w:type="dxa" w:w="1500"/>
            <w:vAlign w:val="center"/>
          </w:tcPr>
          <w:p>
            <w:pPr>
              <w:jc w:val="center"/>
            </w:pPr>
            <w:r>
              <w:rPr>
                <w:b w:val="false"/>
                <w:bCs w:val="false"/>
                <w:sz w:val="20"/>
                <w:szCs w:val="20"/>
              </w:rPr>
              <w:t xml:space="preserve">0.4</w:t>
            </w:r>
          </w:p>
        </w:tc>
        <w:tc>
          <w:tcPr>
            <w:tcW w:type="dxa" w:w="1500"/>
            <w:vAlign w:val="center"/>
          </w:tcPr>
          <w:p>
            <w:pPr>
              <w:jc w:val="center"/>
            </w:pPr>
            <w:r>
              <w:rPr>
                <w:b w:val="false"/>
                <w:bCs w:val="false"/>
                <w:sz w:val="20"/>
                <w:szCs w:val="20"/>
              </w:rPr>
              <w:t xml:space="preserve">0.5</w:t>
            </w:r>
          </w:p>
        </w:tc>
      </w:tr>
      <w:tr>
        <w:tc>
          <w:tcPr>
            <w:tcW w:type="dxa" w:w="1500"/>
            <w:vAlign w:val="center"/>
          </w:tcPr>
          <w:p>
            <w:pPr>
              <w:jc w:val="center"/>
            </w:pPr>
            <w:r>
              <w:rPr>
                <w:b w:val="false"/>
                <w:bCs w:val="false"/>
                <w:sz w:val="20"/>
                <w:szCs w:val="20"/>
              </w:rPr>
              <w:t xml:space="preserve">x3</w:t>
            </w:r>
          </w:p>
        </w:tc>
        <w:tc>
          <w:tcPr>
            <w:tcW w:type="dxa" w:w="1500"/>
            <w:vAlign w:val="center"/>
          </w:tcPr>
          <w:p>
            <w:pPr>
              <w:jc w:val="center"/>
            </w:pPr>
            <w:r>
              <w:rPr>
                <w:b w:val="false"/>
                <w:bCs w:val="false"/>
                <w:sz w:val="20"/>
                <w:szCs w:val="20"/>
              </w:rPr>
              <w:t xml:space="preserve">0.8</w:t>
            </w:r>
          </w:p>
        </w:tc>
        <w:tc>
          <w:tcPr>
            <w:tcW w:type="dxa" w:w="1500"/>
            <w:vAlign w:val="center"/>
          </w:tcPr>
          <w:p>
            <w:pPr>
              <w:jc w:val="center"/>
            </w:pPr>
            <w:r>
              <w:rPr>
                <w:b w:val="false"/>
                <w:bCs w:val="false"/>
                <w:sz w:val="20"/>
                <w:szCs w:val="20"/>
              </w:rPr>
              <w:t xml:space="preserve">0.3</w:t>
            </w:r>
          </w:p>
        </w:tc>
        <w:tc>
          <w:tcPr>
            <w:tcW w:type="dxa" w:w="1500"/>
            <w:vAlign w:val="center"/>
          </w:tcPr>
          <w:p>
            <w:pPr>
              <w:jc w:val="center"/>
            </w:pPr>
            <w:r>
              <w:rPr>
                <w:b w:val="false"/>
                <w:bCs w:val="false"/>
                <w:sz w:val="20"/>
                <w:szCs w:val="20"/>
              </w:rPr>
              <w:t xml:space="preserve">0.8</w:t>
            </w:r>
          </w:p>
        </w:tc>
        <w:tc>
          <w:tcPr>
            <w:tcW w:type="dxa" w:w="1500"/>
            <w:vAlign w:val="center"/>
          </w:tcPr>
          <w:p>
            <w:pPr>
              <w:jc w:val="center"/>
            </w:pPr>
            <w:r>
              <w:rPr>
                <w:b w:val="false"/>
                <w:bCs w:val="false"/>
                <w:sz w:val="20"/>
                <w:szCs w:val="20"/>
              </w:rPr>
              <w:t xml:space="preserve">0.3</w:t>
            </w:r>
          </w:p>
        </w:tc>
        <w:tc>
          <w:tcPr>
            <w:tcW w:type="dxa" w:w="1500"/>
            <w:vAlign w:val="center"/>
          </w:tcPr>
          <w:p>
            <w:pPr>
              <w:jc w:val="center"/>
            </w:pPr>
            <w:r>
              <w:rPr>
                <w:b w:val="false"/>
                <w:bCs w:val="false"/>
                <w:sz w:val="20"/>
                <w:szCs w:val="20"/>
              </w:rPr>
              <w:t xml:space="preserve">0.2</w:t>
            </w:r>
          </w:p>
        </w:tc>
      </w:tr>
      <w:tr>
        <w:tc>
          <w:tcPr>
            <w:tcW w:type="dxa" w:w="1500"/>
            <w:vAlign w:val="center"/>
          </w:tcPr>
          <w:p>
            <w:pPr>
              <w:jc w:val="center"/>
            </w:pPr>
            <w:r>
              <w:rPr>
                <w:b w:val="false"/>
                <w:bCs w:val="false"/>
                <w:sz w:val="20"/>
                <w:szCs w:val="20"/>
              </w:rPr>
              <w:t xml:space="preserve">x4</w:t>
            </w:r>
          </w:p>
        </w:tc>
        <w:tc>
          <w:tcPr>
            <w:tcW w:type="dxa" w:w="1500"/>
            <w:vAlign w:val="center"/>
          </w:tcPr>
          <w:p>
            <w:pPr>
              <w:jc w:val="center"/>
            </w:pPr>
            <w:r>
              <w:rPr>
                <w:b w:val="false"/>
                <w:bCs w:val="false"/>
                <w:sz w:val="20"/>
                <w:szCs w:val="20"/>
              </w:rPr>
              <w:t xml:space="preserve">1.0</w:t>
            </w:r>
          </w:p>
        </w:tc>
        <w:tc>
          <w:tcPr>
            <w:tcW w:type="dxa" w:w="1500"/>
            <w:vAlign w:val="center"/>
          </w:tcPr>
          <w:p>
            <w:pPr>
              <w:jc w:val="center"/>
            </w:pPr>
            <w:r>
              <w:rPr>
                <w:b w:val="false"/>
                <w:bCs w:val="false"/>
                <w:sz w:val="20"/>
                <w:szCs w:val="20"/>
              </w:rPr>
              <w:t xml:space="preserve">0.9</w:t>
            </w:r>
          </w:p>
        </w:tc>
        <w:tc>
          <w:tcPr>
            <w:tcW w:type="dxa" w:w="1500"/>
            <w:vAlign w:val="center"/>
          </w:tcPr>
          <w:p>
            <w:pPr>
              <w:jc w:val="center"/>
            </w:pPr>
            <w:r>
              <w:rPr>
                <w:b w:val="false"/>
                <w:bCs w:val="false"/>
                <w:sz w:val="20"/>
                <w:szCs w:val="20"/>
              </w:rPr>
              <w:t xml:space="preserve">1.0</w:t>
            </w:r>
          </w:p>
        </w:tc>
        <w:tc>
          <w:tcPr>
            <w:tcW w:type="dxa" w:w="1500"/>
            <w:vAlign w:val="center"/>
          </w:tcPr>
          <w:p>
            <w:pPr>
              <w:jc w:val="center"/>
            </w:pPr>
            <w:r>
              <w:rPr>
                <w:b w:val="false"/>
                <w:bCs w:val="false"/>
                <w:sz w:val="20"/>
                <w:szCs w:val="20"/>
              </w:rPr>
              <w:t xml:space="preserve">0.9</w:t>
            </w:r>
          </w:p>
        </w:tc>
        <w:tc>
          <w:tcPr>
            <w:tcW w:type="dxa" w:w="1500"/>
            <w:vAlign w:val="center"/>
          </w:tcPr>
          <w:p>
            <w:pPr>
              <w:jc w:val="center"/>
            </w:pPr>
            <w:r>
              <w:rPr>
                <w:b w:val="false"/>
                <w:bCs w:val="false"/>
                <w:sz w:val="20"/>
                <w:szCs w:val="20"/>
              </w:rPr>
              <w:t xml:space="preserve">0.0</w:t>
            </w:r>
          </w:p>
        </w:tc>
      </w:tr>
    </w:tbl>
    <w:p>
      <w:pPr>
        <w:spacing w:after="120"/>
      </w:pPr>
      <w:r>
        <w:t xml:space="preserve">Vậy μ_(A∪B) = (0.6, 0.5, 0.8, 1.0), μ_(A∩B) = (0.2, 0.4, 0.3, 0.9), μ_(¬A) = (0.8, 0.5, 0.2, 0.0).</w:t>
      </w:r>
    </w:p>
    <w:p>
      <w:pPr>
        <w:shd w:fill="B45309" w:val="clear"/>
        <w:spacing w:after="100" w:before="260"/>
      </w:pPr>
      <w:r>
        <w:rPr>
          <w:b/>
          <w:bCs/>
          <w:color w:val="FFFFFF"/>
          <w:sz w:val="22"/>
          <w:szCs w:val="22"/>
        </w:rPr>
        <w:t xml:space="preserve">Bài tập 3: Suy luận mờ đơn giản (luật IF-THEN)</w:t>
      </w:r>
    </w:p>
    <w:p>
      <w:pPr>
        <w:spacing w:after="120"/>
      </w:pPr>
      <w:r>
        <w:t xml:space="preserve">Cho luật mờ: "NẾU nhiệt độ NÓNG THÌ tốc độ quạt NHANH". Biết độ thuộc của nhiệt độ hiện tại vào tập "NÓNG" là μ_NÓNG(x) = 0.7. Hàm thuộc đầu ra "NHANH" là hình thang với a=60, b=80, c=100, d=100 (đơn vị % tốc độ). Áp dụng phương pháp cắt ở mức α (α-cut / Mamdani implication bằng min) và giải mờ bằng phương pháp điểm trọng tâm gần đúng (lấy trung bình các điểm biên đã cắt), hãy ước lượng tốc độ quạt đầu ra.</w:t>
      </w:r>
    </w:p>
    <w:p>
      <w:pPr>
        <w:shd w:fill="E2F0D9" w:val="clear"/>
        <w:spacing w:after="80" w:before="100"/>
      </w:pPr>
      <w:r>
        <w:rPr>
          <w:b/>
          <w:bCs/>
          <w:i/>
          <w:iCs/>
          <w:color w:val="375623"/>
          <w:sz w:val="22"/>
          <w:szCs w:val="22"/>
        </w:rPr>
        <w:t xml:space="preserve">Lời giải: Bài 3</w:t>
      </w:r>
    </w:p>
    <w:p>
      <w:pPr>
        <w:spacing w:after="120"/>
      </w:pPr>
      <w:r>
        <w:t xml:space="preserve">Bước 1 (Suy diễn mờ - implication): cắt ngọn hàm thuộc "NHANH" tại mức α = μ_NÓNG(x) = 0.7 (theo luật min của Mamdani), nghĩa là phần đầu ra bị giới hạn độ cao tối đa là 0.7 thay vì 1.</w:t>
      </w:r>
    </w:p>
    <w:p>
      <w:pPr>
        <w:spacing w:after="120"/>
      </w:pPr>
      <w:r>
        <w:t xml:space="preserve">Bước 2 (Xác định hình dạng vùng bị cắt): với hàm thang có b=80, c=100 là đáy trên (μ=1) và a=60 là chân trái, phần dốc lên từ a đến b được cắt tại độ cao 0.7:</w:t>
      </w:r>
    </w:p>
    <w:p>
      <w:pPr>
        <w:spacing w:after="120"/>
        <w:jc w:val="center"/>
      </w:pPr>
      <w:r>
        <w:rPr>
          <w:rFonts w:ascii="Cambria Math" w:cs="Cambria Math" w:eastAsia="Cambria Math" w:hAnsi="Cambria Math"/>
          <w:i/>
          <w:iCs/>
          <w:sz w:val="24"/>
          <w:szCs w:val="24"/>
        </w:rPr>
        <w:t xml:space="preserve">0.7 = (x − 60)/(80 − 60)  ⇒  x = 60 + 0.7×20 = 74</w:t>
      </w:r>
    </w:p>
    <w:p>
      <w:pPr>
        <w:spacing w:after="120"/>
      </w:pPr>
      <w:r>
        <w:t xml:space="preserve">Do đó vùng mờ đầu ra sau khi cắt là một hình thang có các điểm mốc xấp xỉ: (60, 0) → (74, 0.7) → (100, 0.7) [phẳng ở đỉnh do vượt sang c=d=100].</w:t>
      </w:r>
    </w:p>
    <w:p>
      <w:pPr>
        <w:spacing w:after="120"/>
      </w:pPr>
      <w:r>
        <w:t xml:space="preserve">Bước 3 (Giải mờ gần đúng bằng trung bình các điểm đại diện — phương pháp đơn giản hóa cho mục đích minh họa, thay cho tích phân trọng tâm đầy đủ):</w:t>
      </w:r>
    </w:p>
    <w:p>
      <w:pPr>
        <w:spacing w:after="120"/>
        <w:jc w:val="center"/>
      </w:pPr>
      <w:r>
        <w:rPr>
          <w:rFonts w:ascii="Cambria Math" w:cs="Cambria Math" w:eastAsia="Cambria Math" w:hAnsi="Cambria Math"/>
          <w:i/>
          <w:iCs/>
          <w:sz w:val="24"/>
          <w:szCs w:val="24"/>
        </w:rPr>
        <w:t xml:space="preserve">x* ≈ (74 + 100) / 2 = 87</w:t>
      </w:r>
    </w:p>
    <w:p>
      <w:pPr>
        <w:spacing w:after="120"/>
      </w:pPr>
      <w:r>
        <w:t xml:space="preserve">Kết luận: với độ nóng μ=0.7, tốc độ quạt đầu ra (sau giải mờ) xấp xỉ 87%. (Lưu ý: đây là cách tính giản lược để minh họa cơ chế cắt ngọn — giải mờ chuẩn bằng centroid đòi hỏi tính tích phân ∫x·μ(x)dx / ∫μ(x)dx trên toàn vùng bị cắt.)</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2026-08-23T18:25:38.803Z</dcterms:created>
  <dcterms:modified xsi:type="dcterms:W3CDTF">2026-08-23T18:25:38.820Z</dcterms:modified>
</cp:coreProperties>
</file>

<file path=docProps/custom.xml><?xml version="1.0" encoding="utf-8"?>
<Properties xmlns="http://schemas.openxmlformats.org/officeDocument/2006/custom-properties" xmlns:vt="http://schemas.openxmlformats.org/officeDocument/2006/docPropsVTypes"/>
</file>