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811" w:displacedByCustomXml="next"/>
    <w:bookmarkStart w:id="1" w:name="_Toc456694923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1757D4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1757D4" w:rsidRPr="0073294C" w:rsidRDefault="001757D4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Dossier Exercicis M3 UF1 : Programació estructurada</w:t>
                          </w:r>
                        </w:sdtContent>
                      </w:sdt>
                    </w:p>
                    <w:p w14:paraId="095D79DC" w14:textId="77777777" w:rsidR="001757D4" w:rsidRDefault="001757D4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1757D4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1757D4" w:rsidRPr="0073294C" w:rsidRDefault="001757D4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1757D4" w:rsidRDefault="001757D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1757D4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1757D4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1757D4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1757D4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1757D4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1757D4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1757D4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1757D4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1757D4" w:rsidRDefault="001757D4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1757D4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1757D4" w:rsidRDefault="001757D4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1757D4" w:rsidRDefault="001757D4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1757D4" w:rsidRDefault="001757D4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1757D4" w:rsidRDefault="001757D4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1757D4" w:rsidRDefault="001757D4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r w:rsidRPr="00C96A75">
        <w:t>yyy.yy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r w:rsidRPr="00BA681B">
        <w:rPr>
          <w:lang w:val="en-GB"/>
        </w:rPr>
        <w:t>yyy.yy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r w:rsidR="00A43174" w:rsidRPr="00A43174">
        <w:rPr>
          <w:szCs w:val="20"/>
        </w:rPr>
        <w:t>a,b</w:t>
      </w:r>
      <w:proofErr w:type="spell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1757D4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1757D4">
        <w:rPr>
          <w:highlight w:val="green"/>
        </w:rPr>
        <w:lastRenderedPageBreak/>
        <w:t>(</w:t>
      </w:r>
      <w:proofErr w:type="spellStart"/>
      <w:r w:rsidRPr="001757D4">
        <w:rPr>
          <w:b/>
          <w:highlight w:val="green"/>
        </w:rPr>
        <w:t>Mastermind</w:t>
      </w:r>
      <w:proofErr w:type="spellEnd"/>
      <w:r w:rsidRPr="001757D4">
        <w:rPr>
          <w:highlight w:val="green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Maxim</w:t>
      </w:r>
      <w:proofErr w:type="spellEnd"/>
      <w:r>
        <w:rPr>
          <w:lang w:val="ca-ES"/>
        </w:rPr>
        <w:t xml:space="preserve">)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NotaNumericaaLLetres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r w:rsidRPr="00B32822">
        <w:rPr>
          <w:b/>
          <w:lang w:val="ca-ES"/>
        </w:rPr>
        <w:t>NotaNumericaaLLetres2</w:t>
      </w:r>
      <w:r>
        <w:rPr>
          <w:b/>
          <w:lang w:val="ca-ES"/>
        </w:rPr>
        <w:t xml:space="preserve">)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1757D4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1757D4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1757D4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1757D4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1757D4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1757D4" w:rsidRDefault="001757D4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1757D4" w:rsidRDefault="001757D4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1757D4" w:rsidRPr="00174C82" w:rsidRDefault="001757D4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1757D4" w:rsidRDefault="001757D4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1757D4" w:rsidRDefault="001757D4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1757D4" w:rsidRDefault="001757D4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757D4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464D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2AF3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5F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3"/>
    <o:shapelayout v:ext="edit">
      <o:idmap v:ext="edit" data="1"/>
      <o:rules v:ext="edit">
        <o:r id="V:Rule3" type="connector" idref="#Straight Arrow Connector 32"/>
        <o:r id="V:Rule4" type="connector" idref="#Straight Connector 33"/>
        <o:r id="V:Rule5" type="connector" idref="#Straight Connector 26"/>
        <o:r id="V:Rule6" type="connector" idref="#Straight Connector 25"/>
        <o:r id="V:Rule7" type="connector" idref="#Straight Arrow Connector 48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6090</TotalTime>
  <Pages>42</Pages>
  <Words>5727</Words>
  <Characters>31502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155</cp:revision>
  <cp:lastPrinted>2018-08-30T12:32:00Z</cp:lastPrinted>
  <dcterms:created xsi:type="dcterms:W3CDTF">2016-07-11T14:50:00Z</dcterms:created>
  <dcterms:modified xsi:type="dcterms:W3CDTF">2020-11-03T13:26:00Z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