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FE6D0" w14:textId="655A07AC" w:rsidR="00A47422" w:rsidRPr="00ED58BE" w:rsidRDefault="00A47422" w:rsidP="00A47422">
      <w:pPr>
        <w:rPr>
          <w:b/>
          <w:sz w:val="28"/>
          <w:szCs w:val="28"/>
        </w:rPr>
      </w:pPr>
      <w:r w:rsidRPr="00ED58BE">
        <w:rPr>
          <w:b/>
          <w:sz w:val="28"/>
          <w:szCs w:val="28"/>
        </w:rPr>
        <w:t>Two-sample Men</w:t>
      </w:r>
      <w:r>
        <w:rPr>
          <w:b/>
          <w:sz w:val="28"/>
          <w:szCs w:val="28"/>
        </w:rPr>
        <w:t xml:space="preserve">delian randomization using summary genetic data </w:t>
      </w:r>
      <w:r w:rsidR="003B31AA">
        <w:rPr>
          <w:b/>
          <w:sz w:val="28"/>
          <w:szCs w:val="28"/>
        </w:rPr>
        <w:t>–</w:t>
      </w:r>
      <w:r>
        <w:rPr>
          <w:b/>
          <w:sz w:val="28"/>
          <w:szCs w:val="28"/>
        </w:rPr>
        <w:t xml:space="preserve"> practical</w:t>
      </w:r>
      <w:r w:rsidR="003B31AA">
        <w:rPr>
          <w:b/>
          <w:sz w:val="28"/>
          <w:szCs w:val="28"/>
        </w:rPr>
        <w:t xml:space="preserve"> in MR Base</w:t>
      </w:r>
    </w:p>
    <w:p w14:paraId="4B774021" w14:textId="21359185" w:rsidR="00A47422" w:rsidRPr="00505262" w:rsidRDefault="00752D64" w:rsidP="001E3181">
      <w:pPr>
        <w:rPr>
          <w:b/>
        </w:rPr>
      </w:pPr>
      <w:r>
        <w:rPr>
          <w:b/>
        </w:rPr>
        <w:t>A</w:t>
      </w:r>
      <w:r w:rsidR="00505262" w:rsidRPr="00505262">
        <w:rPr>
          <w:b/>
        </w:rPr>
        <w:t>.</w:t>
      </w:r>
      <w:r w:rsidR="00A47422" w:rsidRPr="00505262">
        <w:rPr>
          <w:b/>
        </w:rPr>
        <w:t xml:space="preserve"> Estimate the effect of genetically elevated BMI on CHD</w:t>
      </w:r>
    </w:p>
    <w:p w14:paraId="265CD581" w14:textId="77777777" w:rsidR="00C31D1F" w:rsidRDefault="00C31D1F" w:rsidP="00C31D1F">
      <w:pPr>
        <w:spacing w:line="240" w:lineRule="auto"/>
      </w:pPr>
      <w:r>
        <w:t xml:space="preserve">Estimate the effect of </w:t>
      </w:r>
      <w:r w:rsidRPr="00055C0E">
        <w:t>BMI on CHD</w:t>
      </w:r>
      <w:r>
        <w:t xml:space="preserve"> using inverse-variance weighted (IVW) linear regression, simple median, weighted median and MR Egger regression. </w:t>
      </w:r>
      <w:r w:rsidRPr="002A3499">
        <w:t xml:space="preserve">How do the </w:t>
      </w:r>
      <w:r>
        <w:t>resu</w:t>
      </w:r>
      <w:r w:rsidRPr="002A3499">
        <w:t>l</w:t>
      </w:r>
      <w:r>
        <w:t>t</w:t>
      </w:r>
      <w:r w:rsidRPr="002A3499">
        <w:t xml:space="preserve">s </w:t>
      </w:r>
      <w:r>
        <w:t xml:space="preserve">from each of the methods </w:t>
      </w:r>
      <w:r w:rsidRPr="002A3499">
        <w:t xml:space="preserve">compare? </w:t>
      </w:r>
      <w:r>
        <w:t xml:space="preserve"> </w:t>
      </w:r>
    </w:p>
    <w:p w14:paraId="0061D230" w14:textId="7CA4373D" w:rsidR="00A47422" w:rsidRDefault="001E3181" w:rsidP="001E3181">
      <w:pPr>
        <w:spacing w:line="240" w:lineRule="auto"/>
        <w:ind w:left="1080"/>
      </w:pPr>
      <w:r>
        <w:t>ANSWER: the point estimates and standard errors are fairly consistent between the IVW and median methods. MR Egger has a larger point estimate and standard error. All methods show a positive causal relationship between BMI and CHD.</w:t>
      </w:r>
    </w:p>
    <w:tbl>
      <w:tblPr>
        <w:tblStyle w:val="TableGrid"/>
        <w:tblW w:w="0" w:type="auto"/>
        <w:tblInd w:w="1080" w:type="dxa"/>
        <w:tblLook w:val="04A0" w:firstRow="1" w:lastRow="0" w:firstColumn="1" w:lastColumn="0" w:noHBand="0" w:noVBand="1"/>
      </w:tblPr>
      <w:tblGrid>
        <w:gridCol w:w="2743"/>
        <w:gridCol w:w="850"/>
        <w:gridCol w:w="1418"/>
        <w:gridCol w:w="1559"/>
        <w:gridCol w:w="1701"/>
      </w:tblGrid>
      <w:tr w:rsidR="00676740" w14:paraId="2C22B925" w14:textId="77777777" w:rsidTr="00676740">
        <w:tc>
          <w:tcPr>
            <w:tcW w:w="2743" w:type="dxa"/>
          </w:tcPr>
          <w:p w14:paraId="2C2CBA4D" w14:textId="45AB46EE" w:rsidR="00676740" w:rsidRDefault="00676740" w:rsidP="001E3181">
            <w:pPr>
              <w:spacing w:line="240" w:lineRule="auto"/>
            </w:pPr>
            <w:r>
              <w:t>method</w:t>
            </w:r>
          </w:p>
        </w:tc>
        <w:tc>
          <w:tcPr>
            <w:tcW w:w="850" w:type="dxa"/>
          </w:tcPr>
          <w:p w14:paraId="4AF3D61E" w14:textId="20A17EDC" w:rsidR="00676740" w:rsidRDefault="00676740" w:rsidP="001E3181">
            <w:pPr>
              <w:spacing w:line="240" w:lineRule="auto"/>
            </w:pPr>
            <w:proofErr w:type="spellStart"/>
            <w:r>
              <w:t>nsnp</w:t>
            </w:r>
            <w:proofErr w:type="spellEnd"/>
          </w:p>
        </w:tc>
        <w:tc>
          <w:tcPr>
            <w:tcW w:w="1418" w:type="dxa"/>
          </w:tcPr>
          <w:p w14:paraId="076A14F1" w14:textId="176598FE" w:rsidR="00676740" w:rsidRDefault="00676740" w:rsidP="001E3181">
            <w:pPr>
              <w:spacing w:line="240" w:lineRule="auto"/>
            </w:pPr>
            <w:r>
              <w:t>b</w:t>
            </w:r>
          </w:p>
        </w:tc>
        <w:tc>
          <w:tcPr>
            <w:tcW w:w="1559" w:type="dxa"/>
          </w:tcPr>
          <w:p w14:paraId="0BB22570" w14:textId="7685AE25" w:rsidR="00676740" w:rsidRDefault="00676740" w:rsidP="001E3181">
            <w:pPr>
              <w:spacing w:line="240" w:lineRule="auto"/>
            </w:pPr>
            <w:r>
              <w:t>se</w:t>
            </w:r>
          </w:p>
        </w:tc>
        <w:tc>
          <w:tcPr>
            <w:tcW w:w="1701" w:type="dxa"/>
          </w:tcPr>
          <w:p w14:paraId="4C5302E4" w14:textId="7380C9A0" w:rsidR="00676740" w:rsidRDefault="00676740" w:rsidP="001E3181">
            <w:pPr>
              <w:spacing w:line="240" w:lineRule="auto"/>
            </w:pPr>
            <w:proofErr w:type="spellStart"/>
            <w:r>
              <w:t>pval</w:t>
            </w:r>
            <w:proofErr w:type="spellEnd"/>
          </w:p>
        </w:tc>
      </w:tr>
      <w:tr w:rsidR="00676740" w14:paraId="38B8B40E" w14:textId="77777777" w:rsidTr="00676740">
        <w:tc>
          <w:tcPr>
            <w:tcW w:w="2743" w:type="dxa"/>
          </w:tcPr>
          <w:p w14:paraId="4B258839" w14:textId="7E485B16" w:rsidR="00676740" w:rsidRDefault="00676740" w:rsidP="001E3181">
            <w:pPr>
              <w:spacing w:line="240" w:lineRule="auto"/>
            </w:pPr>
            <w:r>
              <w:t>Inverse variance weighted</w:t>
            </w:r>
          </w:p>
        </w:tc>
        <w:tc>
          <w:tcPr>
            <w:tcW w:w="850" w:type="dxa"/>
          </w:tcPr>
          <w:p w14:paraId="79E7CCFE" w14:textId="3753C042" w:rsidR="00676740" w:rsidRDefault="00676740" w:rsidP="001E3181">
            <w:pPr>
              <w:spacing w:line="240" w:lineRule="auto"/>
            </w:pPr>
            <w:r>
              <w:t>95</w:t>
            </w:r>
          </w:p>
        </w:tc>
        <w:tc>
          <w:tcPr>
            <w:tcW w:w="1418" w:type="dxa"/>
          </w:tcPr>
          <w:p w14:paraId="4CB027C1" w14:textId="76F1653F"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0.3608317</w:t>
            </w:r>
          </w:p>
        </w:tc>
        <w:tc>
          <w:tcPr>
            <w:tcW w:w="1559" w:type="dxa"/>
          </w:tcPr>
          <w:p w14:paraId="1CF1FE24" w14:textId="230341D7"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0.06949419</w:t>
            </w:r>
          </w:p>
        </w:tc>
        <w:tc>
          <w:tcPr>
            <w:tcW w:w="1701" w:type="dxa"/>
          </w:tcPr>
          <w:p w14:paraId="0AAF7B8E" w14:textId="21D12D90"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2.077591e-07</w:t>
            </w:r>
          </w:p>
        </w:tc>
      </w:tr>
      <w:tr w:rsidR="00676740" w14:paraId="53C3EBFF" w14:textId="77777777" w:rsidTr="00676740">
        <w:tc>
          <w:tcPr>
            <w:tcW w:w="2743" w:type="dxa"/>
          </w:tcPr>
          <w:p w14:paraId="20E042D9" w14:textId="76F99A68" w:rsidR="00676740" w:rsidRDefault="00676740" w:rsidP="001E3181">
            <w:pPr>
              <w:spacing w:line="240" w:lineRule="auto"/>
            </w:pPr>
            <w:r>
              <w:t>Simple median</w:t>
            </w:r>
          </w:p>
        </w:tc>
        <w:tc>
          <w:tcPr>
            <w:tcW w:w="850" w:type="dxa"/>
          </w:tcPr>
          <w:p w14:paraId="5671366E" w14:textId="7BEC26A3" w:rsidR="00676740" w:rsidRDefault="00676740" w:rsidP="001E3181">
            <w:pPr>
              <w:spacing w:line="240" w:lineRule="auto"/>
            </w:pPr>
            <w:r>
              <w:t>95</w:t>
            </w:r>
          </w:p>
        </w:tc>
        <w:tc>
          <w:tcPr>
            <w:tcW w:w="1418" w:type="dxa"/>
          </w:tcPr>
          <w:p w14:paraId="5041EB42" w14:textId="5465CAC5"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0.3378855</w:t>
            </w:r>
          </w:p>
        </w:tc>
        <w:tc>
          <w:tcPr>
            <w:tcW w:w="1559" w:type="dxa"/>
          </w:tcPr>
          <w:p w14:paraId="0BEB1FE4" w14:textId="46FD7B63"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0.06937833</w:t>
            </w:r>
          </w:p>
        </w:tc>
        <w:tc>
          <w:tcPr>
            <w:tcW w:w="1701" w:type="dxa"/>
          </w:tcPr>
          <w:p w14:paraId="56332A4B" w14:textId="668389F4"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1.114926e-06</w:t>
            </w:r>
          </w:p>
        </w:tc>
      </w:tr>
      <w:tr w:rsidR="00676740" w14:paraId="36BDC0D0" w14:textId="77777777" w:rsidTr="00676740">
        <w:tc>
          <w:tcPr>
            <w:tcW w:w="2743" w:type="dxa"/>
          </w:tcPr>
          <w:p w14:paraId="1E416A75" w14:textId="14E45BF4" w:rsidR="00676740" w:rsidRDefault="00676740" w:rsidP="001E3181">
            <w:pPr>
              <w:spacing w:line="240" w:lineRule="auto"/>
            </w:pPr>
            <w:r>
              <w:t>Weighted median</w:t>
            </w:r>
          </w:p>
        </w:tc>
        <w:tc>
          <w:tcPr>
            <w:tcW w:w="850" w:type="dxa"/>
          </w:tcPr>
          <w:p w14:paraId="4E9DD5A8" w14:textId="128D7234" w:rsidR="00676740" w:rsidRDefault="00676740" w:rsidP="001E3181">
            <w:pPr>
              <w:spacing w:line="240" w:lineRule="auto"/>
            </w:pPr>
            <w:r>
              <w:t>95</w:t>
            </w:r>
          </w:p>
        </w:tc>
        <w:tc>
          <w:tcPr>
            <w:tcW w:w="1418" w:type="dxa"/>
          </w:tcPr>
          <w:p w14:paraId="181A6EFE" w14:textId="4B8526CC"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0.3945629</w:t>
            </w:r>
          </w:p>
        </w:tc>
        <w:tc>
          <w:tcPr>
            <w:tcW w:w="1559" w:type="dxa"/>
          </w:tcPr>
          <w:p w14:paraId="4920BB66" w14:textId="2D5FABC3"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0.07121237</w:t>
            </w:r>
          </w:p>
        </w:tc>
        <w:tc>
          <w:tcPr>
            <w:tcW w:w="1701" w:type="dxa"/>
          </w:tcPr>
          <w:p w14:paraId="07C20995" w14:textId="1BA5A729"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3.013496e-08</w:t>
            </w:r>
          </w:p>
        </w:tc>
      </w:tr>
      <w:tr w:rsidR="00676740" w14:paraId="305734A7" w14:textId="77777777" w:rsidTr="00676740">
        <w:tc>
          <w:tcPr>
            <w:tcW w:w="2743" w:type="dxa"/>
          </w:tcPr>
          <w:p w14:paraId="289AB691" w14:textId="4AEB4FEA" w:rsidR="00676740" w:rsidRDefault="00676740" w:rsidP="001E3181">
            <w:pPr>
              <w:spacing w:line="240" w:lineRule="auto"/>
            </w:pPr>
            <w:r>
              <w:t>MR Egger</w:t>
            </w:r>
          </w:p>
        </w:tc>
        <w:tc>
          <w:tcPr>
            <w:tcW w:w="850" w:type="dxa"/>
          </w:tcPr>
          <w:p w14:paraId="525AABB2" w14:textId="5B756005" w:rsidR="00676740" w:rsidRDefault="00676740" w:rsidP="001E3181">
            <w:pPr>
              <w:spacing w:line="240" w:lineRule="auto"/>
            </w:pPr>
            <w:r>
              <w:t>95</w:t>
            </w:r>
          </w:p>
        </w:tc>
        <w:tc>
          <w:tcPr>
            <w:tcW w:w="1418" w:type="dxa"/>
          </w:tcPr>
          <w:p w14:paraId="7B79AF64" w14:textId="4398DE05"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0.5368161</w:t>
            </w:r>
          </w:p>
        </w:tc>
        <w:tc>
          <w:tcPr>
            <w:tcW w:w="1559" w:type="dxa"/>
          </w:tcPr>
          <w:p w14:paraId="064A8678" w14:textId="03F9CFC3"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0.19883472</w:t>
            </w:r>
          </w:p>
        </w:tc>
        <w:tc>
          <w:tcPr>
            <w:tcW w:w="1701" w:type="dxa"/>
          </w:tcPr>
          <w:p w14:paraId="741555E0" w14:textId="79016132" w:rsidR="00676740" w:rsidRPr="00676740" w:rsidRDefault="00676740" w:rsidP="0067674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8.242343e-03</w:t>
            </w:r>
          </w:p>
        </w:tc>
      </w:tr>
    </w:tbl>
    <w:p w14:paraId="5CDE36CB" w14:textId="77777777" w:rsidR="005E7BF8" w:rsidRDefault="005E7BF8" w:rsidP="00676740">
      <w:pPr>
        <w:spacing w:line="240" w:lineRule="auto"/>
        <w:rPr>
          <w:b/>
        </w:rPr>
      </w:pPr>
    </w:p>
    <w:p w14:paraId="3A85071C" w14:textId="58E178A5" w:rsidR="00676740" w:rsidRPr="00505262" w:rsidRDefault="00676740" w:rsidP="00676740">
      <w:pPr>
        <w:spacing w:line="240" w:lineRule="auto"/>
        <w:rPr>
          <w:b/>
        </w:rPr>
      </w:pPr>
      <w:r>
        <w:rPr>
          <w:b/>
        </w:rPr>
        <w:t>B</w:t>
      </w:r>
      <w:r w:rsidRPr="00505262">
        <w:rPr>
          <w:b/>
        </w:rPr>
        <w:t xml:space="preserve">. </w:t>
      </w:r>
      <w:r>
        <w:rPr>
          <w:b/>
        </w:rPr>
        <w:t>Sensitivity analyses</w:t>
      </w:r>
    </w:p>
    <w:p w14:paraId="2915AD9E" w14:textId="168B3A44" w:rsidR="00C31D1F" w:rsidRDefault="00C31D1F" w:rsidP="00C31D1F">
      <w:pPr>
        <w:pStyle w:val="ListParagraph"/>
        <w:numPr>
          <w:ilvl w:val="3"/>
          <w:numId w:val="3"/>
        </w:numPr>
        <w:spacing w:line="240" w:lineRule="auto"/>
        <w:ind w:left="709" w:hanging="283"/>
      </w:pPr>
      <w:r>
        <w:t xml:space="preserve">We discussed two tests for pleiotropy in the lectures; what were they? Is there any evidence for pleiotropy in our data? </w:t>
      </w:r>
    </w:p>
    <w:p w14:paraId="7C800547" w14:textId="5011E53A" w:rsidR="00C31D1F" w:rsidRDefault="0098737F" w:rsidP="00C31D1F">
      <w:pPr>
        <w:pStyle w:val="ListParagraph"/>
        <w:spacing w:line="240" w:lineRule="auto"/>
        <w:ind w:left="709"/>
      </w:pPr>
      <w:r>
        <w:t xml:space="preserve">ANSWER: The two tests of heterogeneity were, 1) using a Cochran’s Q test, and 2) testing the intercept from MR Egger which indicates directional pleiotropy. There is no evidence of </w:t>
      </w:r>
      <w:r w:rsidR="00C31D1F">
        <w:t>directional pleiotropy using the intercept from MR Egger (intercept=-0.004733028, SE=0.005009926, P=0.3472448). The Q statistic is greater than K-1 (9</w:t>
      </w:r>
      <w:r w:rsidR="00126387">
        <w:t>5</w:t>
      </w:r>
      <w:r w:rsidR="00C31D1F">
        <w:t>-1 SNPs), indicating that there is heterogeneity in the causal estimates across the SNPs.</w:t>
      </w:r>
    </w:p>
    <w:p w14:paraId="10EABDEE" w14:textId="77777777" w:rsidR="00C31D1F" w:rsidRDefault="00C31D1F" w:rsidP="00C31D1F">
      <w:pPr>
        <w:pStyle w:val="ListParagraph"/>
        <w:spacing w:line="240" w:lineRule="auto"/>
        <w:ind w:left="709"/>
      </w:pPr>
    </w:p>
    <w:p w14:paraId="3FB24C4F" w14:textId="72A72870" w:rsidR="00C31D1F" w:rsidRDefault="00C31D1F" w:rsidP="00C31D1F">
      <w:pPr>
        <w:pStyle w:val="ListParagraph"/>
        <w:numPr>
          <w:ilvl w:val="3"/>
          <w:numId w:val="3"/>
        </w:numPr>
        <w:spacing w:line="240" w:lineRule="auto"/>
        <w:ind w:left="709" w:hanging="283"/>
      </w:pPr>
      <w:r>
        <w:t>Can you think of any other way that we could test for pleiotropy?</w:t>
      </w:r>
    </w:p>
    <w:p w14:paraId="11C75324" w14:textId="152C3958" w:rsidR="00C31D1F" w:rsidRDefault="00C31D1F" w:rsidP="0098737F">
      <w:pPr>
        <w:pStyle w:val="ListParagraph"/>
        <w:spacing w:line="240" w:lineRule="auto"/>
        <w:ind w:left="709"/>
      </w:pPr>
      <w:r>
        <w:t>ANSWER: we could see if any of the 9</w:t>
      </w:r>
      <w:r w:rsidR="00126387">
        <w:t>5</w:t>
      </w:r>
      <w:r>
        <w:t xml:space="preserve"> SNPs are associated with other traits, such as smoking, cholesterol, blood pressure etc, using </w:t>
      </w:r>
      <w:proofErr w:type="spellStart"/>
      <w:r>
        <w:t>publically</w:t>
      </w:r>
      <w:proofErr w:type="spellEnd"/>
      <w:r>
        <w:t xml:space="preserve"> avai</w:t>
      </w:r>
      <w:r w:rsidR="00907F38">
        <w:t>l</w:t>
      </w:r>
      <w:r>
        <w:t xml:space="preserve">able GWAS summary statistics for those traits. </w:t>
      </w:r>
      <w:r w:rsidR="00DC383E">
        <w:t xml:space="preserve">If some of the SNPs were associated with other traits, you would need to think about whether they were on the causal pathway (e.g. SNP -&gt; BMI -&gt; SBP -&gt; CHD) or whether they were a pathway that didn’t operate through BMI. </w:t>
      </w:r>
      <w:r w:rsidR="0098737F">
        <w:t xml:space="preserve">However, biological knowledge is needed.  </w:t>
      </w:r>
    </w:p>
    <w:p w14:paraId="43C91AFB" w14:textId="52792227" w:rsidR="00A47422" w:rsidRPr="00505262" w:rsidRDefault="00676740" w:rsidP="00941444">
      <w:pPr>
        <w:spacing w:line="240" w:lineRule="auto"/>
        <w:rPr>
          <w:b/>
        </w:rPr>
      </w:pPr>
      <w:r>
        <w:rPr>
          <w:b/>
        </w:rPr>
        <w:t>C</w:t>
      </w:r>
      <w:r w:rsidR="00505262" w:rsidRPr="00505262">
        <w:rPr>
          <w:b/>
        </w:rPr>
        <w:t xml:space="preserve">. </w:t>
      </w:r>
      <w:r>
        <w:rPr>
          <w:b/>
        </w:rPr>
        <w:t>Visualising the results</w:t>
      </w:r>
    </w:p>
    <w:p w14:paraId="0D7C8768" w14:textId="6E02A5FD" w:rsidR="00A47422" w:rsidRDefault="00A47422" w:rsidP="00DC383E">
      <w:pPr>
        <w:pStyle w:val="ListParagraph"/>
        <w:numPr>
          <w:ilvl w:val="0"/>
          <w:numId w:val="18"/>
        </w:numPr>
        <w:spacing w:line="240" w:lineRule="auto"/>
      </w:pPr>
      <w:r w:rsidRPr="002A3499">
        <w:t xml:space="preserve">Create a scatter plot of the SNP-CHD and SNP-BMI associations. Does the SNP-CHD association increase </w:t>
      </w:r>
      <w:r w:rsidRPr="007D1902">
        <w:t>linearly as the SNP-BMI association increases? What could deviations from linearity mean? Are there any unusual data points?</w:t>
      </w:r>
    </w:p>
    <w:p w14:paraId="7991BFEB" w14:textId="2C4A120B" w:rsidR="001E3181" w:rsidRDefault="001E3181" w:rsidP="00DC383E">
      <w:pPr>
        <w:spacing w:line="240" w:lineRule="auto"/>
        <w:ind w:left="720"/>
      </w:pPr>
      <w:r>
        <w:t>ANSWER:</w:t>
      </w:r>
      <w:r w:rsidR="00F6346F">
        <w:t xml:space="preserve"> </w:t>
      </w:r>
      <w:r w:rsidR="00F6346F" w:rsidRPr="00C91E73">
        <w:t xml:space="preserve">Scatter plot of results for BMI SNPs.  The plot shows the SNP-CHD effects (Y axis) plotted against the SNP-BMI effects (X axis), where effect refers to the log odds for CHD </w:t>
      </w:r>
      <w:r w:rsidR="001B3091">
        <w:t>per</w:t>
      </w:r>
      <w:r w:rsidR="00F6346F" w:rsidRPr="00C91E73">
        <w:t xml:space="preserve"> SD change in BMI per copy of the effect allele.  If BMI causes CHD we would expect a linear dose response relationship, i.e. the SNP-CHD effects should increase as the SNP-BMI effects increase. Notice that there are a few “outlier” SNPs. Some BMI-raising alleles seem to be associated with negative log odds for CHD. Some BMI-raising alleles also seem to have unusually strong, risk raising, effects on CHD, in comparison to the other SNPs. “Outlier” SNPs in a scatter plot will generally correspond to the SNPs at the top or bottom of a forest plot of SNP ratio estimates (figure 1). Could these “outliers” be indicative of pleiotropic pathways to CHD? Possibly.  However, there may be other explan</w:t>
      </w:r>
      <w:r w:rsidR="00F6346F">
        <w:t>ations for outliers (see answer</w:t>
      </w:r>
      <w:r w:rsidR="00F6346F" w:rsidRPr="00C91E73">
        <w:t xml:space="preserve"> on heterogeneity above).</w:t>
      </w:r>
    </w:p>
    <w:p w14:paraId="248980D1" w14:textId="666E06D7" w:rsidR="00F6346F" w:rsidRPr="007D1902" w:rsidRDefault="007F4E18" w:rsidP="00F6346F">
      <w:pPr>
        <w:spacing w:line="240" w:lineRule="auto"/>
        <w:ind w:left="426"/>
      </w:pPr>
      <w:r>
        <w:rPr>
          <w:noProof/>
        </w:rPr>
        <w:object w:dxaOrig="7560" w:dyaOrig="7560" w14:anchorId="670BB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79.45pt;height:279.45pt;mso-width-percent:0;mso-height-percent:0;mso-width-percent:0;mso-height-percent:0" o:ole="">
            <v:imagedata r:id="rId7" o:title=""/>
          </v:shape>
          <o:OLEObject Type="Embed" ProgID="AcroExch.Document.DC" ShapeID="_x0000_i1027" DrawAspect="Content" ObjectID="_1653465087" r:id="rId8"/>
        </w:object>
      </w:r>
    </w:p>
    <w:p w14:paraId="7D636497" w14:textId="4D88274C" w:rsidR="00A47422" w:rsidRDefault="00A47422" w:rsidP="00DC383E">
      <w:pPr>
        <w:pStyle w:val="ListParagraph"/>
        <w:numPr>
          <w:ilvl w:val="0"/>
          <w:numId w:val="18"/>
        </w:numPr>
        <w:spacing w:line="240" w:lineRule="auto"/>
      </w:pPr>
      <w:r w:rsidRPr="007D1902">
        <w:t>Create a funnel plot of the results. Does the funnel plot look symmetric? What could asymmetry mean? Are there any outliers?</w:t>
      </w:r>
    </w:p>
    <w:p w14:paraId="2DAC3CC7" w14:textId="77777777" w:rsidR="00424AB9" w:rsidRPr="00C91E73" w:rsidRDefault="00424AB9" w:rsidP="00DC383E">
      <w:pPr>
        <w:ind w:left="426"/>
        <w:rPr>
          <w:b/>
        </w:rPr>
      </w:pPr>
      <w:r>
        <w:t xml:space="preserve">ANSWER: </w:t>
      </w:r>
      <w:r w:rsidRPr="00C91E73">
        <w:t>Funnel plot of MR results. The plot shows ratio estimates of causal effect (x axis) plotted against the inverse of the standard error of the ratio estimates (Y axis).  We generally expect the distribution to look symmetric, so that as estimates get less precise (going from top to bottom on the Y axis), the causal estimates “fan” out randomly on either side of the overall effect (indicated by the vertical lines). Asymmetry (</w:t>
      </w:r>
      <w:proofErr w:type="spellStart"/>
      <w:r w:rsidRPr="00C91E73">
        <w:t>i.e</w:t>
      </w:r>
      <w:proofErr w:type="spellEnd"/>
      <w:r w:rsidRPr="00C91E73">
        <w:t xml:space="preserve"> an imbalance of estimates on one side of the overall effect) is indicative of small study bias in a meta-analysis context. In Mendelian randomization, asymmetry is suggestive of unbalanced pleiotropy.</w:t>
      </w:r>
    </w:p>
    <w:p w14:paraId="5026484D" w14:textId="71DDD554" w:rsidR="00424AB9" w:rsidRPr="007D1902" w:rsidRDefault="007F4E18" w:rsidP="00424AB9">
      <w:pPr>
        <w:spacing w:line="240" w:lineRule="auto"/>
        <w:ind w:left="437"/>
      </w:pPr>
      <w:r>
        <w:rPr>
          <w:noProof/>
        </w:rPr>
        <w:object w:dxaOrig="7560" w:dyaOrig="7560" w14:anchorId="2E0CFDF6">
          <v:shape id="_x0000_i1026" type="#_x0000_t75" alt="" style="width:248.1pt;height:248.1pt;mso-width-percent:0;mso-height-percent:0;mso-width-percent:0;mso-height-percent:0" o:ole="">
            <v:imagedata r:id="rId9" o:title=""/>
          </v:shape>
          <o:OLEObject Type="Embed" ProgID="AcroExch.Document.DC" ShapeID="_x0000_i1026" DrawAspect="Content" ObjectID="_1653465088" r:id="rId10"/>
        </w:object>
      </w:r>
    </w:p>
    <w:p w14:paraId="209AC86A" w14:textId="2AF6BF87" w:rsidR="00424AB9" w:rsidRDefault="00A47422" w:rsidP="00DC383E">
      <w:pPr>
        <w:pStyle w:val="ListParagraph"/>
        <w:numPr>
          <w:ilvl w:val="0"/>
          <w:numId w:val="18"/>
        </w:numPr>
        <w:spacing w:line="240" w:lineRule="auto"/>
      </w:pPr>
      <w:r w:rsidRPr="007D1902">
        <w:t>Create a forest plot of the results. Is there heterogeneity in the effects amongst SNPs? What could that indicate?</w:t>
      </w:r>
    </w:p>
    <w:p w14:paraId="0C2D76F9" w14:textId="66002EFB" w:rsidR="00424AB9" w:rsidRDefault="00424AB9" w:rsidP="00DC383E">
      <w:pPr>
        <w:spacing w:line="240" w:lineRule="auto"/>
        <w:ind w:left="720"/>
      </w:pPr>
      <w:r>
        <w:lastRenderedPageBreak/>
        <w:t xml:space="preserve">ANSWER: </w:t>
      </w:r>
      <w:r w:rsidRPr="00C91E73">
        <w:t>Forest plot of Mendelian randomization results. Plot shows effect of body mass index on coronary heart disease due to each SNP separately (estimated by ratio method) as well as combined across all SNPs into an overall effect (estimated by various methods).  Heterogeneity could be indicative of violations of MR assumptions. Notice how some SNPs at the bottom and top of the plots have unusually strong protective or harmful effects, in comparison to the bulk of the SNPs. This could be indicative of alternative pathways between the SNPs and CHD not mediated by BMI (horizontal pleiotropy). Alternatively, these “outliers” could reflect other violations of assumptions, data handling errors or chance sampling variation.</w:t>
      </w:r>
    </w:p>
    <w:p w14:paraId="4739E83A" w14:textId="77777777" w:rsidR="00424AB9" w:rsidRDefault="007F4E18" w:rsidP="00424AB9">
      <w:pPr>
        <w:pStyle w:val="ListParagraph"/>
        <w:spacing w:line="240" w:lineRule="auto"/>
      </w:pPr>
      <w:r>
        <w:rPr>
          <w:noProof/>
        </w:rPr>
        <w:object w:dxaOrig="7560" w:dyaOrig="7560" w14:anchorId="75279FE1">
          <v:shape id="_x0000_i1025" type="#_x0000_t75" alt="" style="width:377.8pt;height:377.8pt;mso-width-percent:0;mso-height-percent:0;mso-width-percent:0;mso-height-percent:0" o:ole="">
            <v:imagedata r:id="rId11" o:title=""/>
          </v:shape>
          <o:OLEObject Type="Embed" ProgID="AcroExch.Document.DC" ShapeID="_x0000_i1025" DrawAspect="Content" ObjectID="_1653465089" r:id="rId12"/>
        </w:object>
      </w:r>
    </w:p>
    <w:p w14:paraId="2D3A9ADC" w14:textId="591F4B5B" w:rsidR="00A47422" w:rsidRPr="009A5E57" w:rsidRDefault="00A47422" w:rsidP="00424AB9">
      <w:pPr>
        <w:spacing w:line="240" w:lineRule="auto"/>
        <w:ind w:left="437"/>
      </w:pPr>
      <w:r w:rsidRPr="007D1902">
        <w:t xml:space="preserve"> </w:t>
      </w:r>
    </w:p>
    <w:p w14:paraId="3C53BD18" w14:textId="309BF1D6" w:rsidR="00A47422" w:rsidRPr="00505262" w:rsidRDefault="00752D64" w:rsidP="00941444">
      <w:pPr>
        <w:spacing w:line="240" w:lineRule="auto"/>
        <w:rPr>
          <w:b/>
        </w:rPr>
      </w:pPr>
      <w:r>
        <w:rPr>
          <w:b/>
        </w:rPr>
        <w:t>C</w:t>
      </w:r>
      <w:r w:rsidR="00505262" w:rsidRPr="00505262">
        <w:rPr>
          <w:b/>
        </w:rPr>
        <w:t>.</w:t>
      </w:r>
      <w:r w:rsidR="00A47422" w:rsidRPr="00505262">
        <w:rPr>
          <w:b/>
        </w:rPr>
        <w:t xml:space="preserve"> Interpret the results</w:t>
      </w:r>
    </w:p>
    <w:p w14:paraId="122267B7" w14:textId="23A1FBB9" w:rsidR="00A47422" w:rsidRDefault="006678C0" w:rsidP="007D1902">
      <w:pPr>
        <w:spacing w:line="240" w:lineRule="auto"/>
        <w:ind w:firstLine="426"/>
      </w:pPr>
      <w:r>
        <w:t>1</w:t>
      </w:r>
      <w:r w:rsidR="007D1902">
        <w:t>. D</w:t>
      </w:r>
      <w:r w:rsidR="00A47422" w:rsidRPr="002A3499">
        <w:t xml:space="preserve">o you think BMI causes CHD? </w:t>
      </w:r>
      <w:r w:rsidR="00A47422">
        <w:t>Consider these questions:</w:t>
      </w:r>
    </w:p>
    <w:p w14:paraId="6B04F9DC" w14:textId="6A70F7F4" w:rsidR="007D1902" w:rsidRDefault="00A47422" w:rsidP="007D1902">
      <w:pPr>
        <w:pStyle w:val="ListParagraph"/>
        <w:numPr>
          <w:ilvl w:val="1"/>
          <w:numId w:val="12"/>
        </w:numPr>
        <w:spacing w:line="240" w:lineRule="auto"/>
      </w:pPr>
      <w:r>
        <w:t xml:space="preserve">What is the odds ratio for coronary heart disease per unit increase in genetically elevated BMI? </w:t>
      </w:r>
    </w:p>
    <w:p w14:paraId="0AE5306C" w14:textId="553CBAFC" w:rsidR="00424AB9" w:rsidRDefault="00424AB9" w:rsidP="00424AB9">
      <w:pPr>
        <w:ind w:left="720"/>
      </w:pPr>
      <w:r>
        <w:t xml:space="preserve">ANSWER: </w:t>
      </w:r>
      <w:r w:rsidRPr="00C91E73">
        <w:t xml:space="preserve">The odds ratio for coronary heart disease per SD higher BMI </w:t>
      </w:r>
      <w:r>
        <w:t xml:space="preserve">due to genetic variation was </w:t>
      </w:r>
      <w:r w:rsidRPr="00800546">
        <w:t>1.</w:t>
      </w:r>
      <w:r w:rsidR="008A335A">
        <w:t>4</w:t>
      </w:r>
      <w:r>
        <w:t>3 (</w:t>
      </w:r>
      <w:proofErr w:type="spellStart"/>
      <w:r>
        <w:rPr>
          <w:rFonts w:hint="eastAsia"/>
          <w:lang w:eastAsia="zh-CN"/>
        </w:rPr>
        <w:t>l</w:t>
      </w:r>
      <w:r>
        <w:rPr>
          <w:lang w:eastAsia="zh-CN"/>
        </w:rPr>
        <w:t>ogOR</w:t>
      </w:r>
      <w:proofErr w:type="spellEnd"/>
      <w:r>
        <w:t>=</w:t>
      </w:r>
      <w:r w:rsidRPr="00800546">
        <w:t xml:space="preserve"> </w:t>
      </w:r>
      <w:r>
        <w:t>0.</w:t>
      </w:r>
      <w:r w:rsidR="008A335A">
        <w:t>3608317</w:t>
      </w:r>
      <w:r>
        <w:t>) (95% confidence interval: 1.</w:t>
      </w:r>
      <w:r w:rsidR="008A335A">
        <w:t>25</w:t>
      </w:r>
      <w:r>
        <w:t xml:space="preserve"> to 1.</w:t>
      </w:r>
      <w:r w:rsidR="008A335A">
        <w:t>64</w:t>
      </w:r>
      <w:r w:rsidRPr="00C91E73">
        <w:t xml:space="preserve">) (estimated by the IVW method).  </w:t>
      </w:r>
    </w:p>
    <w:p w14:paraId="04214C3E" w14:textId="2B62A29D" w:rsidR="00DC383E" w:rsidRDefault="00DC383E" w:rsidP="00DC383E">
      <w:pPr>
        <w:pStyle w:val="ListParagraph"/>
        <w:numPr>
          <w:ilvl w:val="1"/>
          <w:numId w:val="12"/>
        </w:numPr>
        <w:spacing w:line="240" w:lineRule="auto"/>
      </w:pPr>
      <w:r w:rsidRPr="004D1644">
        <w:t>Are the genetic and observational effects directionally similar? Are they comparable?</w:t>
      </w:r>
    </w:p>
    <w:p w14:paraId="6117D4A0" w14:textId="7AD3E6A4" w:rsidR="00424AB9" w:rsidRDefault="00424AB9" w:rsidP="00DC383E">
      <w:pPr>
        <w:ind w:left="720"/>
      </w:pPr>
      <w:r>
        <w:lastRenderedPageBreak/>
        <w:t xml:space="preserve">ANSWER: </w:t>
      </w:r>
      <w:r w:rsidR="00DC383E">
        <w:t>the causal OR=1.43 (95%CI: 1.25-1</w:t>
      </w:r>
      <w:bookmarkStart w:id="0" w:name="_GoBack"/>
      <w:bookmarkEnd w:id="0"/>
      <w:r w:rsidR="00DC383E">
        <w:t xml:space="preserve">.64), which is slightly higher than the observational estimate of 1.23 (95%CI: 1.17-1.29). However, the confidence intervals overlap slightly. </w:t>
      </w:r>
    </w:p>
    <w:p w14:paraId="2E442767" w14:textId="63C35842" w:rsidR="00DC383E" w:rsidRDefault="00DC383E" w:rsidP="00DC383E">
      <w:pPr>
        <w:pStyle w:val="ListParagraph"/>
        <w:numPr>
          <w:ilvl w:val="1"/>
          <w:numId w:val="12"/>
        </w:numPr>
      </w:pPr>
      <w:r>
        <w:t>Are there any reasons we should be cautious with these results?</w:t>
      </w:r>
    </w:p>
    <w:p w14:paraId="581DBCC8" w14:textId="4EDB97A1" w:rsidR="00DC383E" w:rsidRDefault="00DC383E" w:rsidP="00DC383E">
      <w:pPr>
        <w:ind w:left="720"/>
      </w:pPr>
      <w:r>
        <w:t xml:space="preserve">ANSWER: </w:t>
      </w:r>
    </w:p>
    <w:p w14:paraId="5954EE0D" w14:textId="5C1678C4" w:rsidR="00DC383E" w:rsidRDefault="00DC383E" w:rsidP="00DC383E">
      <w:pPr>
        <w:pStyle w:val="ListParagraph"/>
        <w:numPr>
          <w:ilvl w:val="0"/>
          <w:numId w:val="21"/>
        </w:numPr>
      </w:pPr>
      <w:r>
        <w:t>The two samples used in the BMI and CHD GWAS might not be completely independent (i.e. some individuals may have contributed to both analyses)</w:t>
      </w:r>
      <w:r w:rsidR="0062117B">
        <w:t>, which could bias our results.</w:t>
      </w:r>
    </w:p>
    <w:p w14:paraId="01E972B6" w14:textId="68F44E26" w:rsidR="0062117B" w:rsidRDefault="0062117B" w:rsidP="00DC383E">
      <w:pPr>
        <w:pStyle w:val="ListParagraph"/>
        <w:numPr>
          <w:ilvl w:val="0"/>
          <w:numId w:val="21"/>
        </w:numPr>
      </w:pPr>
      <w:r>
        <w:t>We could have some weak instruments which would bias our estimate towards the null (unlikely in this case because of the large BMI GWAS, but still needs to be tested)</w:t>
      </w:r>
    </w:p>
    <w:p w14:paraId="7F66EDEE" w14:textId="6782D576" w:rsidR="0062117B" w:rsidRDefault="0062117B" w:rsidP="0062117B">
      <w:pPr>
        <w:pStyle w:val="ListParagraph"/>
        <w:numPr>
          <w:ilvl w:val="0"/>
          <w:numId w:val="21"/>
        </w:numPr>
      </w:pPr>
      <w:r>
        <w:t xml:space="preserve">Potential impact of </w:t>
      </w:r>
      <w:r w:rsidRPr="002A3499">
        <w:t>winner’s curse</w:t>
      </w:r>
      <w:r>
        <w:t>, whereby the effects of the SNPs on BMI may be overestimated in the discovery stage of the GWAS</w:t>
      </w:r>
    </w:p>
    <w:p w14:paraId="21440355" w14:textId="4844D504" w:rsidR="0062117B" w:rsidRDefault="0062117B" w:rsidP="0062117B">
      <w:pPr>
        <w:pStyle w:val="ListParagraph"/>
        <w:numPr>
          <w:ilvl w:val="0"/>
          <w:numId w:val="21"/>
        </w:numPr>
      </w:pPr>
      <w:r>
        <w:t xml:space="preserve">We haven’t tested whether there are other potentially pleiotropic pathways from the SNPs to CHD that don’t go through BMI (see response to B.2. for more detail). </w:t>
      </w:r>
    </w:p>
    <w:sectPr w:rsidR="0062117B" w:rsidSect="00915148">
      <w:footerReference w:type="even" r:id="rId13"/>
      <w:foot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B698" w14:textId="77777777" w:rsidR="007F4E18" w:rsidRDefault="007F4E18">
      <w:pPr>
        <w:spacing w:after="0" w:line="240" w:lineRule="auto"/>
      </w:pPr>
      <w:r>
        <w:separator/>
      </w:r>
    </w:p>
  </w:endnote>
  <w:endnote w:type="continuationSeparator" w:id="0">
    <w:p w14:paraId="18E9A5E6" w14:textId="77777777" w:rsidR="007F4E18" w:rsidRDefault="007F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D01" w14:textId="77777777" w:rsidR="004F63E5" w:rsidRDefault="00A47422" w:rsidP="00F53C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FC8C9C" w14:textId="77777777" w:rsidR="004F63E5" w:rsidRDefault="007F4E18" w:rsidP="009223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43C62" w14:textId="08B28210" w:rsidR="004F63E5" w:rsidRDefault="00A47422" w:rsidP="00F53C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37F">
      <w:rPr>
        <w:rStyle w:val="PageNumber"/>
        <w:noProof/>
      </w:rPr>
      <w:t>4</w:t>
    </w:r>
    <w:r>
      <w:rPr>
        <w:rStyle w:val="PageNumber"/>
      </w:rPr>
      <w:fldChar w:fldCharType="end"/>
    </w:r>
  </w:p>
  <w:p w14:paraId="05DD5E23" w14:textId="77777777" w:rsidR="004F63E5" w:rsidRDefault="007F4E18" w:rsidP="009223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DC11D" w14:textId="77777777" w:rsidR="007F4E18" w:rsidRDefault="007F4E18">
      <w:pPr>
        <w:spacing w:after="0" w:line="240" w:lineRule="auto"/>
      </w:pPr>
      <w:r>
        <w:separator/>
      </w:r>
    </w:p>
  </w:footnote>
  <w:footnote w:type="continuationSeparator" w:id="0">
    <w:p w14:paraId="41CCC75C" w14:textId="77777777" w:rsidR="007F4E18" w:rsidRDefault="007F4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3324"/>
    <w:multiLevelType w:val="hybridMultilevel"/>
    <w:tmpl w:val="DBA27E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63E2E"/>
    <w:multiLevelType w:val="hybridMultilevel"/>
    <w:tmpl w:val="7B9810CE"/>
    <w:lvl w:ilvl="0" w:tplc="76D4329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E51F75"/>
    <w:multiLevelType w:val="multilevel"/>
    <w:tmpl w:val="285A73E2"/>
    <w:lvl w:ilvl="0">
      <w:start w:val="3"/>
      <w:numFmt w:val="decimal"/>
      <w:lvlText w:val="%1.0"/>
      <w:lvlJc w:val="left"/>
      <w:pPr>
        <w:ind w:left="2946" w:hanging="360"/>
      </w:pPr>
      <w:rPr>
        <w:rFonts w:hint="default"/>
      </w:rPr>
    </w:lvl>
    <w:lvl w:ilvl="1">
      <w:start w:val="1"/>
      <w:numFmt w:val="decimal"/>
      <w:lvlText w:val="%1.%2"/>
      <w:lvlJc w:val="left"/>
      <w:pPr>
        <w:ind w:left="3666" w:hanging="360"/>
      </w:pPr>
      <w:rPr>
        <w:rFonts w:hint="default"/>
      </w:rPr>
    </w:lvl>
    <w:lvl w:ilvl="2">
      <w:start w:val="1"/>
      <w:numFmt w:val="decimal"/>
      <w:lvlText w:val="%1.%2.%3"/>
      <w:lvlJc w:val="left"/>
      <w:pPr>
        <w:ind w:left="4746" w:hanging="720"/>
      </w:pPr>
      <w:rPr>
        <w:rFonts w:hint="default"/>
      </w:rPr>
    </w:lvl>
    <w:lvl w:ilvl="3">
      <w:start w:val="1"/>
      <w:numFmt w:val="decimal"/>
      <w:lvlText w:val="%1.%2.%3.%4"/>
      <w:lvlJc w:val="left"/>
      <w:pPr>
        <w:ind w:left="5466" w:hanging="720"/>
      </w:pPr>
      <w:rPr>
        <w:rFonts w:hint="default"/>
      </w:rPr>
    </w:lvl>
    <w:lvl w:ilvl="4">
      <w:start w:val="1"/>
      <w:numFmt w:val="decimal"/>
      <w:lvlText w:val="%1.%2.%3.%4.%5"/>
      <w:lvlJc w:val="left"/>
      <w:pPr>
        <w:ind w:left="6546" w:hanging="1080"/>
      </w:pPr>
      <w:rPr>
        <w:rFonts w:hint="default"/>
      </w:rPr>
    </w:lvl>
    <w:lvl w:ilvl="5">
      <w:start w:val="1"/>
      <w:numFmt w:val="decimal"/>
      <w:lvlText w:val="%1.%2.%3.%4.%5.%6"/>
      <w:lvlJc w:val="left"/>
      <w:pPr>
        <w:ind w:left="7266" w:hanging="1080"/>
      </w:pPr>
      <w:rPr>
        <w:rFonts w:hint="default"/>
      </w:rPr>
    </w:lvl>
    <w:lvl w:ilvl="6">
      <w:start w:val="1"/>
      <w:numFmt w:val="decimal"/>
      <w:lvlText w:val="%1.%2.%3.%4.%5.%6.%7"/>
      <w:lvlJc w:val="left"/>
      <w:pPr>
        <w:ind w:left="8346" w:hanging="1440"/>
      </w:pPr>
      <w:rPr>
        <w:rFonts w:hint="default"/>
      </w:rPr>
    </w:lvl>
    <w:lvl w:ilvl="7">
      <w:start w:val="1"/>
      <w:numFmt w:val="decimal"/>
      <w:lvlText w:val="%1.%2.%3.%4.%5.%6.%7.%8"/>
      <w:lvlJc w:val="left"/>
      <w:pPr>
        <w:ind w:left="9066" w:hanging="1440"/>
      </w:pPr>
      <w:rPr>
        <w:rFonts w:hint="default"/>
      </w:rPr>
    </w:lvl>
    <w:lvl w:ilvl="8">
      <w:start w:val="1"/>
      <w:numFmt w:val="decimal"/>
      <w:lvlText w:val="%1.%2.%3.%4.%5.%6.%7.%8.%9"/>
      <w:lvlJc w:val="left"/>
      <w:pPr>
        <w:ind w:left="10146" w:hanging="1800"/>
      </w:pPr>
      <w:rPr>
        <w:rFonts w:hint="default"/>
      </w:rPr>
    </w:lvl>
  </w:abstractNum>
  <w:abstractNum w:abstractNumId="3" w15:restartNumberingAfterBreak="0">
    <w:nsid w:val="1B13681B"/>
    <w:multiLevelType w:val="hybridMultilevel"/>
    <w:tmpl w:val="A0240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D0480"/>
    <w:multiLevelType w:val="hybridMultilevel"/>
    <w:tmpl w:val="87460E46"/>
    <w:lvl w:ilvl="0" w:tplc="2FD45EE2">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284819D3"/>
    <w:multiLevelType w:val="hybridMultilevel"/>
    <w:tmpl w:val="65D86744"/>
    <w:lvl w:ilvl="0" w:tplc="F754EB68">
      <w:start w:val="1"/>
      <w:numFmt w:val="decimal"/>
      <w:lvlText w:val="%1."/>
      <w:lvlJc w:val="left"/>
      <w:pPr>
        <w:ind w:left="720" w:hanging="360"/>
      </w:pPr>
      <w:rPr>
        <w:rFonts w:hint="default"/>
        <w:sz w:val="22"/>
        <w:szCs w:val="22"/>
      </w:rPr>
    </w:lvl>
    <w:lvl w:ilvl="1" w:tplc="7908CC86">
      <w:start w:val="1"/>
      <w:numFmt w:val="lowerLetter"/>
      <w:lvlText w:val="%2."/>
      <w:lvlJc w:val="left"/>
      <w:pPr>
        <w:ind w:left="1440" w:hanging="360"/>
      </w:pPr>
      <w:rPr>
        <w:b w:val="0"/>
        <w:sz w:val="22"/>
        <w:szCs w:val="22"/>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F61D1D"/>
    <w:multiLevelType w:val="hybridMultilevel"/>
    <w:tmpl w:val="90385AEA"/>
    <w:lvl w:ilvl="0" w:tplc="82D0F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763B2"/>
    <w:multiLevelType w:val="hybridMultilevel"/>
    <w:tmpl w:val="6AE66C88"/>
    <w:lvl w:ilvl="0" w:tplc="BAA496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5D031AE"/>
    <w:multiLevelType w:val="hybridMultilevel"/>
    <w:tmpl w:val="255485D4"/>
    <w:lvl w:ilvl="0" w:tplc="08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9" w15:restartNumberingAfterBreak="0">
    <w:nsid w:val="37E91322"/>
    <w:multiLevelType w:val="hybridMultilevel"/>
    <w:tmpl w:val="65D86744"/>
    <w:lvl w:ilvl="0" w:tplc="F754EB68">
      <w:start w:val="1"/>
      <w:numFmt w:val="decimal"/>
      <w:lvlText w:val="%1."/>
      <w:lvlJc w:val="left"/>
      <w:pPr>
        <w:ind w:left="720" w:hanging="360"/>
      </w:pPr>
      <w:rPr>
        <w:rFonts w:hint="default"/>
        <w:sz w:val="22"/>
        <w:szCs w:val="22"/>
      </w:rPr>
    </w:lvl>
    <w:lvl w:ilvl="1" w:tplc="7908CC86">
      <w:start w:val="1"/>
      <w:numFmt w:val="lowerLetter"/>
      <w:lvlText w:val="%2."/>
      <w:lvlJc w:val="left"/>
      <w:pPr>
        <w:ind w:left="1440" w:hanging="360"/>
      </w:pPr>
      <w:rPr>
        <w:b w:val="0"/>
        <w:sz w:val="22"/>
        <w:szCs w:val="22"/>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D53632"/>
    <w:multiLevelType w:val="hybridMultilevel"/>
    <w:tmpl w:val="9F562580"/>
    <w:lvl w:ilvl="0" w:tplc="09789160">
      <w:start w:val="3"/>
      <w:numFmt w:val="bullet"/>
      <w:lvlText w:val="-"/>
      <w:lvlJc w:val="left"/>
      <w:pPr>
        <w:ind w:left="1080" w:hanging="360"/>
      </w:pPr>
      <w:rPr>
        <w:rFonts w:ascii="Cambria" w:eastAsiaTheme="minorHAnsi" w:hAnsi="Cambri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4D97766"/>
    <w:multiLevelType w:val="hybridMultilevel"/>
    <w:tmpl w:val="65D86744"/>
    <w:lvl w:ilvl="0" w:tplc="F754EB68">
      <w:start w:val="1"/>
      <w:numFmt w:val="decimal"/>
      <w:lvlText w:val="%1."/>
      <w:lvlJc w:val="left"/>
      <w:pPr>
        <w:ind w:left="720" w:hanging="360"/>
      </w:pPr>
      <w:rPr>
        <w:rFonts w:hint="default"/>
        <w:sz w:val="22"/>
        <w:szCs w:val="22"/>
      </w:rPr>
    </w:lvl>
    <w:lvl w:ilvl="1" w:tplc="7908CC86">
      <w:start w:val="1"/>
      <w:numFmt w:val="lowerLetter"/>
      <w:lvlText w:val="%2."/>
      <w:lvlJc w:val="left"/>
      <w:pPr>
        <w:ind w:left="1440" w:hanging="360"/>
      </w:pPr>
      <w:rPr>
        <w:b w:val="0"/>
        <w:sz w:val="22"/>
        <w:szCs w:val="22"/>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8A0C51"/>
    <w:multiLevelType w:val="hybridMultilevel"/>
    <w:tmpl w:val="745694A6"/>
    <w:lvl w:ilvl="0" w:tplc="0416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A33E0B"/>
    <w:multiLevelType w:val="hybridMultilevel"/>
    <w:tmpl w:val="8FB48002"/>
    <w:lvl w:ilvl="0" w:tplc="47EA3064">
      <w:start w:val="1"/>
      <w:numFmt w:val="decimal"/>
      <w:lvlText w:val="%1."/>
      <w:lvlJc w:val="left"/>
      <w:pPr>
        <w:ind w:left="720" w:hanging="360"/>
      </w:pPr>
      <w:rPr>
        <w:rFonts w:asciiTheme="minorHAnsi" w:eastAsiaTheme="minorHAnsi" w:hAnsiTheme="minorHAnsi" w:cstheme="minorBidi"/>
      </w:rPr>
    </w:lvl>
    <w:lvl w:ilvl="1" w:tplc="D6FC1270">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A07488"/>
    <w:multiLevelType w:val="hybridMultilevel"/>
    <w:tmpl w:val="8F063D92"/>
    <w:lvl w:ilvl="0" w:tplc="04160019">
      <w:start w:val="1"/>
      <w:numFmt w:val="lowerLetter"/>
      <w:lvlText w:val="%1."/>
      <w:lvlJc w:val="left"/>
      <w:pPr>
        <w:ind w:left="720" w:hanging="360"/>
      </w:pPr>
    </w:lvl>
    <w:lvl w:ilvl="1" w:tplc="76D4329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2C668E"/>
    <w:multiLevelType w:val="hybridMultilevel"/>
    <w:tmpl w:val="378ECA4C"/>
    <w:lvl w:ilvl="0" w:tplc="0416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A03427"/>
    <w:multiLevelType w:val="hybridMultilevel"/>
    <w:tmpl w:val="DBA27E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8681E"/>
    <w:multiLevelType w:val="hybridMultilevel"/>
    <w:tmpl w:val="6E3E97C2"/>
    <w:lvl w:ilvl="0" w:tplc="97BEF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A5765B"/>
    <w:multiLevelType w:val="hybridMultilevel"/>
    <w:tmpl w:val="D6F03022"/>
    <w:lvl w:ilvl="0" w:tplc="70FCDFDE">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9" w15:restartNumberingAfterBreak="0">
    <w:nsid w:val="7B1A560D"/>
    <w:multiLevelType w:val="hybridMultilevel"/>
    <w:tmpl w:val="85F6CA9E"/>
    <w:lvl w:ilvl="0" w:tplc="0809000F">
      <w:start w:val="1"/>
      <w:numFmt w:val="decimal"/>
      <w:lvlText w:val="%1."/>
      <w:lvlJc w:val="left"/>
      <w:pPr>
        <w:ind w:left="720" w:hanging="360"/>
      </w:pPr>
      <w:rPr>
        <w:rFonts w:hint="default"/>
      </w:rPr>
    </w:lvl>
    <w:lvl w:ilvl="1" w:tplc="ADCE57A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D44E1B"/>
    <w:multiLevelType w:val="hybridMultilevel"/>
    <w:tmpl w:val="53B4742C"/>
    <w:lvl w:ilvl="0" w:tplc="76D4329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9"/>
  </w:num>
  <w:num w:numId="4">
    <w:abstractNumId w:val="3"/>
  </w:num>
  <w:num w:numId="5">
    <w:abstractNumId w:val="13"/>
  </w:num>
  <w:num w:numId="6">
    <w:abstractNumId w:val="17"/>
  </w:num>
  <w:num w:numId="7">
    <w:abstractNumId w:val="16"/>
  </w:num>
  <w:num w:numId="8">
    <w:abstractNumId w:val="7"/>
  </w:num>
  <w:num w:numId="9">
    <w:abstractNumId w:val="12"/>
  </w:num>
  <w:num w:numId="10">
    <w:abstractNumId w:val="4"/>
  </w:num>
  <w:num w:numId="11">
    <w:abstractNumId w:val="15"/>
  </w:num>
  <w:num w:numId="12">
    <w:abstractNumId w:val="14"/>
  </w:num>
  <w:num w:numId="13">
    <w:abstractNumId w:val="11"/>
  </w:num>
  <w:num w:numId="14">
    <w:abstractNumId w:val="5"/>
  </w:num>
  <w:num w:numId="15">
    <w:abstractNumId w:val="8"/>
  </w:num>
  <w:num w:numId="16">
    <w:abstractNumId w:val="20"/>
  </w:num>
  <w:num w:numId="17">
    <w:abstractNumId w:val="6"/>
  </w:num>
  <w:num w:numId="18">
    <w:abstractNumId w:val="18"/>
  </w:num>
  <w:num w:numId="19">
    <w:abstractNumId w:val="2"/>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22"/>
    <w:rsid w:val="0000060D"/>
    <w:rsid w:val="00024ED5"/>
    <w:rsid w:val="000419E5"/>
    <w:rsid w:val="000D7F58"/>
    <w:rsid w:val="00126387"/>
    <w:rsid w:val="00152842"/>
    <w:rsid w:val="00177CE6"/>
    <w:rsid w:val="00182D07"/>
    <w:rsid w:val="001B3091"/>
    <w:rsid w:val="001D4A88"/>
    <w:rsid w:val="001D5DF3"/>
    <w:rsid w:val="001E3181"/>
    <w:rsid w:val="00265C04"/>
    <w:rsid w:val="00285E0F"/>
    <w:rsid w:val="00294198"/>
    <w:rsid w:val="002C1A42"/>
    <w:rsid w:val="002F1A1C"/>
    <w:rsid w:val="003371E3"/>
    <w:rsid w:val="003B31AA"/>
    <w:rsid w:val="003E4A3B"/>
    <w:rsid w:val="0040197C"/>
    <w:rsid w:val="0040543B"/>
    <w:rsid w:val="00405A8A"/>
    <w:rsid w:val="00420E6B"/>
    <w:rsid w:val="00424AB9"/>
    <w:rsid w:val="00463CF5"/>
    <w:rsid w:val="004A53E2"/>
    <w:rsid w:val="004F4069"/>
    <w:rsid w:val="00505262"/>
    <w:rsid w:val="005C10D0"/>
    <w:rsid w:val="005E0971"/>
    <w:rsid w:val="005E7BF8"/>
    <w:rsid w:val="0062117B"/>
    <w:rsid w:val="00642233"/>
    <w:rsid w:val="006678C0"/>
    <w:rsid w:val="00667E4C"/>
    <w:rsid w:val="00676740"/>
    <w:rsid w:val="006D26CE"/>
    <w:rsid w:val="00701E9A"/>
    <w:rsid w:val="00713FD1"/>
    <w:rsid w:val="0074679B"/>
    <w:rsid w:val="00752D64"/>
    <w:rsid w:val="00777153"/>
    <w:rsid w:val="007B06E6"/>
    <w:rsid w:val="007D1902"/>
    <w:rsid w:val="007E6ACC"/>
    <w:rsid w:val="007F4E18"/>
    <w:rsid w:val="00823174"/>
    <w:rsid w:val="008379D4"/>
    <w:rsid w:val="0086596B"/>
    <w:rsid w:val="00875955"/>
    <w:rsid w:val="008A15E7"/>
    <w:rsid w:val="008A335A"/>
    <w:rsid w:val="008C1828"/>
    <w:rsid w:val="008C43D2"/>
    <w:rsid w:val="008E3B43"/>
    <w:rsid w:val="008E65A3"/>
    <w:rsid w:val="00907F38"/>
    <w:rsid w:val="0091057A"/>
    <w:rsid w:val="00941444"/>
    <w:rsid w:val="0098737F"/>
    <w:rsid w:val="009A5E57"/>
    <w:rsid w:val="009B5764"/>
    <w:rsid w:val="00A075AD"/>
    <w:rsid w:val="00A47422"/>
    <w:rsid w:val="00A47523"/>
    <w:rsid w:val="00A80C6F"/>
    <w:rsid w:val="00AB0CD4"/>
    <w:rsid w:val="00B5058B"/>
    <w:rsid w:val="00C0081F"/>
    <w:rsid w:val="00C07930"/>
    <w:rsid w:val="00C20A46"/>
    <w:rsid w:val="00C31D1F"/>
    <w:rsid w:val="00C31F62"/>
    <w:rsid w:val="00CB3289"/>
    <w:rsid w:val="00D04B9E"/>
    <w:rsid w:val="00D23C80"/>
    <w:rsid w:val="00D875E4"/>
    <w:rsid w:val="00DC383E"/>
    <w:rsid w:val="00DF1E33"/>
    <w:rsid w:val="00EA672E"/>
    <w:rsid w:val="00EE7380"/>
    <w:rsid w:val="00F6346F"/>
    <w:rsid w:val="00FB04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91DC1"/>
  <w14:defaultImageDpi w14:val="300"/>
  <w15:docId w15:val="{C18736B0-7681-294C-8C20-313E90C1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42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22"/>
    <w:pPr>
      <w:ind w:left="720"/>
      <w:contextualSpacing/>
    </w:pPr>
  </w:style>
  <w:style w:type="paragraph" w:styleId="Footer">
    <w:name w:val="footer"/>
    <w:basedOn w:val="Normal"/>
    <w:link w:val="FooterChar"/>
    <w:uiPriority w:val="99"/>
    <w:unhideWhenUsed/>
    <w:rsid w:val="00A474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422"/>
    <w:rPr>
      <w:rFonts w:eastAsiaTheme="minorHAnsi"/>
      <w:sz w:val="22"/>
      <w:szCs w:val="22"/>
    </w:rPr>
  </w:style>
  <w:style w:type="character" w:styleId="PageNumber">
    <w:name w:val="page number"/>
    <w:basedOn w:val="DefaultParagraphFont"/>
    <w:uiPriority w:val="99"/>
    <w:semiHidden/>
    <w:unhideWhenUsed/>
    <w:rsid w:val="00A47422"/>
  </w:style>
  <w:style w:type="character" w:styleId="Hyperlink">
    <w:name w:val="Hyperlink"/>
    <w:basedOn w:val="DefaultParagraphFont"/>
    <w:uiPriority w:val="99"/>
    <w:unhideWhenUsed/>
    <w:rsid w:val="005C10D0"/>
    <w:rPr>
      <w:color w:val="0000FF" w:themeColor="hyperlink"/>
      <w:u w:val="single"/>
    </w:rPr>
  </w:style>
  <w:style w:type="table" w:styleId="TableGrid">
    <w:name w:val="Table Grid"/>
    <w:basedOn w:val="TableNormal"/>
    <w:uiPriority w:val="59"/>
    <w:rsid w:val="0067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7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676740"/>
    <w:rPr>
      <w:rFonts w:ascii="Courier New" w:eastAsia="Times New Roman" w:hAnsi="Courier New" w:cs="Courier New"/>
      <w:sz w:val="20"/>
      <w:szCs w:val="20"/>
      <w:lang w:val="en-AU" w:eastAsia="en-AU"/>
    </w:rPr>
  </w:style>
  <w:style w:type="character" w:customStyle="1" w:styleId="gnkrckgcgsb">
    <w:name w:val="gnkrckgcgsb"/>
    <w:basedOn w:val="DefaultParagraphFont"/>
    <w:rsid w:val="00676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6714">
      <w:bodyDiv w:val="1"/>
      <w:marLeft w:val="0"/>
      <w:marRight w:val="0"/>
      <w:marTop w:val="0"/>
      <w:marBottom w:val="0"/>
      <w:divBdr>
        <w:top w:val="none" w:sz="0" w:space="0" w:color="auto"/>
        <w:left w:val="none" w:sz="0" w:space="0" w:color="auto"/>
        <w:bottom w:val="none" w:sz="0" w:space="0" w:color="auto"/>
        <w:right w:val="none" w:sz="0" w:space="0" w:color="auto"/>
      </w:divBdr>
    </w:div>
    <w:div w:id="35087209">
      <w:bodyDiv w:val="1"/>
      <w:marLeft w:val="0"/>
      <w:marRight w:val="0"/>
      <w:marTop w:val="0"/>
      <w:marBottom w:val="0"/>
      <w:divBdr>
        <w:top w:val="none" w:sz="0" w:space="0" w:color="auto"/>
        <w:left w:val="none" w:sz="0" w:space="0" w:color="auto"/>
        <w:bottom w:val="none" w:sz="0" w:space="0" w:color="auto"/>
        <w:right w:val="none" w:sz="0" w:space="0" w:color="auto"/>
      </w:divBdr>
    </w:div>
    <w:div w:id="248196457">
      <w:bodyDiv w:val="1"/>
      <w:marLeft w:val="0"/>
      <w:marRight w:val="0"/>
      <w:marTop w:val="0"/>
      <w:marBottom w:val="0"/>
      <w:divBdr>
        <w:top w:val="none" w:sz="0" w:space="0" w:color="auto"/>
        <w:left w:val="none" w:sz="0" w:space="0" w:color="auto"/>
        <w:bottom w:val="none" w:sz="0" w:space="0" w:color="auto"/>
        <w:right w:val="none" w:sz="0" w:space="0" w:color="auto"/>
      </w:divBdr>
    </w:div>
    <w:div w:id="252204143">
      <w:bodyDiv w:val="1"/>
      <w:marLeft w:val="0"/>
      <w:marRight w:val="0"/>
      <w:marTop w:val="0"/>
      <w:marBottom w:val="0"/>
      <w:divBdr>
        <w:top w:val="none" w:sz="0" w:space="0" w:color="auto"/>
        <w:left w:val="none" w:sz="0" w:space="0" w:color="auto"/>
        <w:bottom w:val="none" w:sz="0" w:space="0" w:color="auto"/>
        <w:right w:val="none" w:sz="0" w:space="0" w:color="auto"/>
      </w:divBdr>
    </w:div>
    <w:div w:id="680356892">
      <w:bodyDiv w:val="1"/>
      <w:marLeft w:val="0"/>
      <w:marRight w:val="0"/>
      <w:marTop w:val="0"/>
      <w:marBottom w:val="0"/>
      <w:divBdr>
        <w:top w:val="none" w:sz="0" w:space="0" w:color="auto"/>
        <w:left w:val="none" w:sz="0" w:space="0" w:color="auto"/>
        <w:bottom w:val="none" w:sz="0" w:space="0" w:color="auto"/>
        <w:right w:val="none" w:sz="0" w:space="0" w:color="auto"/>
      </w:divBdr>
    </w:div>
    <w:div w:id="718477139">
      <w:bodyDiv w:val="1"/>
      <w:marLeft w:val="0"/>
      <w:marRight w:val="0"/>
      <w:marTop w:val="0"/>
      <w:marBottom w:val="0"/>
      <w:divBdr>
        <w:top w:val="none" w:sz="0" w:space="0" w:color="auto"/>
        <w:left w:val="none" w:sz="0" w:space="0" w:color="auto"/>
        <w:bottom w:val="none" w:sz="0" w:space="0" w:color="auto"/>
        <w:right w:val="none" w:sz="0" w:space="0" w:color="auto"/>
      </w:divBdr>
    </w:div>
    <w:div w:id="912203887">
      <w:bodyDiv w:val="1"/>
      <w:marLeft w:val="0"/>
      <w:marRight w:val="0"/>
      <w:marTop w:val="0"/>
      <w:marBottom w:val="0"/>
      <w:divBdr>
        <w:top w:val="none" w:sz="0" w:space="0" w:color="auto"/>
        <w:left w:val="none" w:sz="0" w:space="0" w:color="auto"/>
        <w:bottom w:val="none" w:sz="0" w:space="0" w:color="auto"/>
        <w:right w:val="none" w:sz="0" w:space="0" w:color="auto"/>
      </w:divBdr>
    </w:div>
    <w:div w:id="948779495">
      <w:bodyDiv w:val="1"/>
      <w:marLeft w:val="0"/>
      <w:marRight w:val="0"/>
      <w:marTop w:val="0"/>
      <w:marBottom w:val="0"/>
      <w:divBdr>
        <w:top w:val="none" w:sz="0" w:space="0" w:color="auto"/>
        <w:left w:val="none" w:sz="0" w:space="0" w:color="auto"/>
        <w:bottom w:val="none" w:sz="0" w:space="0" w:color="auto"/>
        <w:right w:val="none" w:sz="0" w:space="0" w:color="auto"/>
      </w:divBdr>
    </w:div>
    <w:div w:id="1101730161">
      <w:bodyDiv w:val="1"/>
      <w:marLeft w:val="0"/>
      <w:marRight w:val="0"/>
      <w:marTop w:val="0"/>
      <w:marBottom w:val="0"/>
      <w:divBdr>
        <w:top w:val="none" w:sz="0" w:space="0" w:color="auto"/>
        <w:left w:val="none" w:sz="0" w:space="0" w:color="auto"/>
        <w:bottom w:val="none" w:sz="0" w:space="0" w:color="auto"/>
        <w:right w:val="none" w:sz="0" w:space="0" w:color="auto"/>
      </w:divBdr>
    </w:div>
    <w:div w:id="1466120764">
      <w:bodyDiv w:val="1"/>
      <w:marLeft w:val="0"/>
      <w:marRight w:val="0"/>
      <w:marTop w:val="0"/>
      <w:marBottom w:val="0"/>
      <w:divBdr>
        <w:top w:val="none" w:sz="0" w:space="0" w:color="auto"/>
        <w:left w:val="none" w:sz="0" w:space="0" w:color="auto"/>
        <w:bottom w:val="none" w:sz="0" w:space="0" w:color="auto"/>
        <w:right w:val="none" w:sz="0" w:space="0" w:color="auto"/>
      </w:divBdr>
    </w:div>
    <w:div w:id="1655795814">
      <w:bodyDiv w:val="1"/>
      <w:marLeft w:val="0"/>
      <w:marRight w:val="0"/>
      <w:marTop w:val="0"/>
      <w:marBottom w:val="0"/>
      <w:divBdr>
        <w:top w:val="none" w:sz="0" w:space="0" w:color="auto"/>
        <w:left w:val="none" w:sz="0" w:space="0" w:color="auto"/>
        <w:bottom w:val="none" w:sz="0" w:space="0" w:color="auto"/>
        <w:right w:val="none" w:sz="0" w:space="0" w:color="auto"/>
      </w:divBdr>
    </w:div>
    <w:div w:id="1694570596">
      <w:bodyDiv w:val="1"/>
      <w:marLeft w:val="0"/>
      <w:marRight w:val="0"/>
      <w:marTop w:val="0"/>
      <w:marBottom w:val="0"/>
      <w:divBdr>
        <w:top w:val="none" w:sz="0" w:space="0" w:color="auto"/>
        <w:left w:val="none" w:sz="0" w:space="0" w:color="auto"/>
        <w:bottom w:val="none" w:sz="0" w:space="0" w:color="auto"/>
        <w:right w:val="none" w:sz="0" w:space="0" w:color="auto"/>
      </w:divBdr>
    </w:div>
    <w:div w:id="1739404559">
      <w:bodyDiv w:val="1"/>
      <w:marLeft w:val="0"/>
      <w:marRight w:val="0"/>
      <w:marTop w:val="0"/>
      <w:marBottom w:val="0"/>
      <w:divBdr>
        <w:top w:val="none" w:sz="0" w:space="0" w:color="auto"/>
        <w:left w:val="none" w:sz="0" w:space="0" w:color="auto"/>
        <w:bottom w:val="none" w:sz="0" w:space="0" w:color="auto"/>
        <w:right w:val="none" w:sz="0" w:space="0" w:color="auto"/>
      </w:divBdr>
    </w:div>
    <w:div w:id="1834029438">
      <w:bodyDiv w:val="1"/>
      <w:marLeft w:val="0"/>
      <w:marRight w:val="0"/>
      <w:marTop w:val="0"/>
      <w:marBottom w:val="0"/>
      <w:divBdr>
        <w:top w:val="none" w:sz="0" w:space="0" w:color="auto"/>
        <w:left w:val="none" w:sz="0" w:space="0" w:color="auto"/>
        <w:bottom w:val="none" w:sz="0" w:space="0" w:color="auto"/>
        <w:right w:val="none" w:sz="0" w:space="0" w:color="auto"/>
      </w:divBdr>
    </w:div>
    <w:div w:id="2054034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MRC Integrative Epidemiology Unit</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Haycock</dc:creator>
  <cp:keywords/>
  <dc:description/>
  <cp:lastModifiedBy>Ben Michael Brumpton</cp:lastModifiedBy>
  <cp:revision>3</cp:revision>
  <dcterms:created xsi:type="dcterms:W3CDTF">2020-06-12T08:53:00Z</dcterms:created>
  <dcterms:modified xsi:type="dcterms:W3CDTF">2020-06-12T09:04:00Z</dcterms:modified>
</cp:coreProperties>
</file>