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100"/>
      </w:pPr>
      <w:r>
        <w:rPr>
          <w:rFonts w:ascii="Calibri" w:hAnsi="Calibri"/>
          <w:b/>
          <w:color w:val="C41230"/>
          <w:sz w:val="18"/>
        </w:rPr>
        <w:t>MARKET INTELLIGENCE CASE STUDY</w:t>
      </w:r>
    </w:p>
    <w:p>
      <w:pPr>
        <w:keepNext/>
        <w:spacing w:before="40" w:after="60"/>
      </w:pPr>
      <w:r>
        <w:rPr>
          <w:rFonts w:ascii="Calibri" w:hAnsi="Calibri"/>
          <w:b/>
          <w:color w:val="202124"/>
          <w:sz w:val="54"/>
        </w:rPr>
        <w:t>Vans Market Expansion Strategy</w:t>
      </w:r>
    </w:p>
    <w:p>
      <w:pPr>
        <w:keepNext/>
        <w:spacing w:before="0" w:after="260"/>
      </w:pPr>
      <w:r>
        <w:rPr>
          <w:rFonts w:ascii="Calibri" w:hAnsi="Calibri"/>
          <w:i/>
          <w:color w:val="5F6368"/>
          <w:sz w:val="27"/>
        </w:rPr>
        <w:t>Extending a subculture brand into adjacent growth markets</w:t>
      </w:r>
    </w:p>
    <w:tbl>
      <w:tblPr>
        <w:tblW w:type="dxa" w:w="9360"/>
        <w:tblLayout w:type="fixed"/>
        <w:tblLook w:firstColumn="1" w:firstRow="1" w:lastColumn="0" w:lastRow="0" w:noHBand="0" w:noVBand="1" w:val="04A0"/>
        <w:tblInd w:w="120" w:type="dxa"/>
        <w:tblBorders>
          <w:top w:val="nil"/>
          <w:left w:val="nil"/>
          <w:bottom w:val="nil"/>
          <w:right w:val="nil"/>
          <w:insideH w:val="nil"/>
          <w:insideV w:val="nil"/>
        </w:tblBorders>
      </w:tblPr>
      <w:tblGrid>
        <w:gridCol w:w="2160"/>
        <w:gridCol w:w="7200"/>
      </w:tblGrid>
      <w:tr>
        <w:trPr>
          <w:trHeight w:hRule="atLeast"/>
        </w:trPr>
        <w:tc>
          <w:tcPr>
            <w:tcW w:type="dxa" w:w="2160"/>
            <w:tcMar>
              <w:top w:w="80" w:type="dxa"/>
              <w:start w:w="120" w:type="dxa"/>
              <w:bottom w:w="80" w:type="dxa"/>
              <w:end w:w="120" w:type="dxa"/>
            </w:tcMar>
            <w:vAlign w:val="center"/>
          </w:tcPr>
          <w:p>
            <w:pPr>
              <w:spacing w:before="0" w:after="0" w:line="252" w:lineRule="auto"/>
              <w:jc w:val="left"/>
            </w:pPr>
            <w:r/>
            <w:r>
              <w:rPr>
                <w:rFonts w:ascii="Calibri" w:hAnsi="Calibri"/>
                <w:b/>
                <w:color w:val="941126"/>
                <w:sz w:val="17"/>
              </w:rPr>
              <w:t>RESEARCH PERIOD</w:t>
            </w:r>
          </w:p>
        </w:tc>
        <w:tc>
          <w:tcPr>
            <w:tcW w:type="dxa" w:w="7200"/>
            <w:tcMar>
              <w:top w:w="80" w:type="dxa"/>
              <w:start w:w="120" w:type="dxa"/>
              <w:bottom w:w="80" w:type="dxa"/>
              <w:end w:w="120" w:type="dxa"/>
            </w:tcMar>
            <w:vAlign w:val="center"/>
          </w:tcPr>
          <w:p>
            <w:pPr>
              <w:spacing w:before="0" w:after="0" w:line="252" w:lineRule="auto"/>
              <w:jc w:val="left"/>
            </w:pPr>
            <w:r/>
            <w:r>
              <w:rPr>
                <w:rFonts w:ascii="Calibri" w:hAnsi="Calibri"/>
                <w:b w:val="0"/>
                <w:color w:val="202124"/>
                <w:sz w:val="19"/>
              </w:rPr>
              <w:t>2021</w:t>
            </w:r>
          </w:p>
        </w:tc>
      </w:tr>
      <w:tr>
        <w:trPr>
          <w:trHeight w:hRule="atLeast"/>
        </w:trPr>
        <w:tc>
          <w:tcPr>
            <w:tcW w:type="dxa" w:w="2160"/>
            <w:tcMar>
              <w:top w:w="80" w:type="dxa"/>
              <w:start w:w="120" w:type="dxa"/>
              <w:bottom w:w="80" w:type="dxa"/>
              <w:end w:w="120" w:type="dxa"/>
            </w:tcMar>
            <w:vAlign w:val="center"/>
          </w:tcPr>
          <w:p>
            <w:pPr>
              <w:spacing w:before="0" w:after="0" w:line="252" w:lineRule="auto"/>
              <w:jc w:val="left"/>
            </w:pPr>
            <w:r/>
            <w:r>
              <w:rPr>
                <w:rFonts w:ascii="Calibri" w:hAnsi="Calibri"/>
                <w:b/>
                <w:color w:val="941126"/>
                <w:sz w:val="17"/>
              </w:rPr>
              <w:t>PROJECT LEAD</w:t>
            </w:r>
          </w:p>
        </w:tc>
        <w:tc>
          <w:tcPr>
            <w:tcW w:type="dxa" w:w="7200"/>
            <w:tcMar>
              <w:top w:w="80" w:type="dxa"/>
              <w:start w:w="120" w:type="dxa"/>
              <w:bottom w:w="80" w:type="dxa"/>
              <w:end w:w="120" w:type="dxa"/>
            </w:tcMar>
            <w:vAlign w:val="center"/>
          </w:tcPr>
          <w:p>
            <w:pPr>
              <w:spacing w:before="0" w:after="0" w:line="252" w:lineRule="auto"/>
              <w:jc w:val="left"/>
            </w:pPr>
            <w:r/>
            <w:r>
              <w:rPr>
                <w:rFonts w:ascii="Calibri" w:hAnsi="Calibri"/>
                <w:b w:val="0"/>
                <w:color w:val="202124"/>
                <w:sz w:val="19"/>
              </w:rPr>
              <w:t>Brian Hunt</w:t>
            </w:r>
          </w:p>
        </w:tc>
      </w:tr>
      <w:tr>
        <w:trPr>
          <w:trHeight w:hRule="atLeast"/>
        </w:trPr>
        <w:tc>
          <w:tcPr>
            <w:tcW w:type="dxa" w:w="2160"/>
            <w:tcMar>
              <w:top w:w="80" w:type="dxa"/>
              <w:start w:w="120" w:type="dxa"/>
              <w:bottom w:w="80" w:type="dxa"/>
              <w:end w:w="120" w:type="dxa"/>
            </w:tcMar>
            <w:vAlign w:val="center"/>
          </w:tcPr>
          <w:p>
            <w:pPr>
              <w:spacing w:before="0" w:after="0" w:line="252" w:lineRule="auto"/>
              <w:jc w:val="left"/>
            </w:pPr>
            <w:r/>
            <w:r>
              <w:rPr>
                <w:rFonts w:ascii="Calibri" w:hAnsi="Calibri"/>
                <w:b/>
                <w:color w:val="941126"/>
                <w:sz w:val="17"/>
              </w:rPr>
              <w:t>ORIGINAL CONTEXT</w:t>
            </w:r>
          </w:p>
        </w:tc>
        <w:tc>
          <w:tcPr>
            <w:tcW w:type="dxa" w:w="7200"/>
            <w:tcMar>
              <w:top w:w="80" w:type="dxa"/>
              <w:start w:w="120" w:type="dxa"/>
              <w:bottom w:w="80" w:type="dxa"/>
              <w:end w:w="120" w:type="dxa"/>
            </w:tcMar>
            <w:vAlign w:val="center"/>
          </w:tcPr>
          <w:p>
            <w:pPr>
              <w:spacing w:before="0" w:after="0" w:line="252" w:lineRule="auto"/>
              <w:jc w:val="left"/>
            </w:pPr>
            <w:r/>
            <w:r>
              <w:rPr>
                <w:rFonts w:ascii="Calibri" w:hAnsi="Calibri"/>
                <w:b w:val="0"/>
                <w:color w:val="202124"/>
                <w:sz w:val="19"/>
              </w:rPr>
              <w:t>Undergraduate marketing plan project</w:t>
            </w:r>
          </w:p>
        </w:tc>
      </w:tr>
      <w:tr>
        <w:trPr>
          <w:trHeight w:hRule="atLeast"/>
        </w:trPr>
        <w:tc>
          <w:tcPr>
            <w:tcW w:type="dxa" w:w="2160"/>
            <w:tcMar>
              <w:top w:w="80" w:type="dxa"/>
              <w:start w:w="120" w:type="dxa"/>
              <w:bottom w:w="80" w:type="dxa"/>
              <w:end w:w="120" w:type="dxa"/>
            </w:tcMar>
            <w:vAlign w:val="center"/>
          </w:tcPr>
          <w:p>
            <w:pPr>
              <w:spacing w:before="0" w:after="0" w:line="252" w:lineRule="auto"/>
              <w:jc w:val="left"/>
            </w:pPr>
            <w:r/>
            <w:r>
              <w:rPr>
                <w:rFonts w:ascii="Calibri" w:hAnsi="Calibri"/>
                <w:b/>
                <w:color w:val="941126"/>
                <w:sz w:val="17"/>
              </w:rPr>
              <w:t>ORIGINAL TEAM</w:t>
            </w:r>
          </w:p>
        </w:tc>
        <w:tc>
          <w:tcPr>
            <w:tcW w:type="dxa" w:w="7200"/>
            <w:tcMar>
              <w:top w:w="80" w:type="dxa"/>
              <w:start w:w="120" w:type="dxa"/>
              <w:bottom w:w="80" w:type="dxa"/>
              <w:end w:w="120" w:type="dxa"/>
            </w:tcMar>
            <w:vAlign w:val="center"/>
          </w:tcPr>
          <w:p>
            <w:pPr>
              <w:spacing w:before="0" w:after="0" w:line="252" w:lineRule="auto"/>
              <w:jc w:val="left"/>
            </w:pPr>
            <w:r/>
            <w:r>
              <w:rPr>
                <w:rFonts w:ascii="Calibri" w:hAnsi="Calibri"/>
                <w:b w:val="0"/>
                <w:color w:val="202124"/>
                <w:sz w:val="19"/>
              </w:rPr>
              <w:t>Alanna Ardastra, Derek Cunningham, Nick Bisconti, Chris Stafford, and Gavin Green</w:t>
            </w:r>
          </w:p>
        </w:tc>
      </w:tr>
    </w:tbl>
    <w:p>
      <w:pPr>
        <w:spacing w:before="80" w:after="180" w:line="259" w:lineRule="auto"/>
        <w:ind w:left="173" w:right="144"/>
        <w:shd w:fill="F3F4F6"/>
        <w:pBdr>
          <w:left w:val="single" w:sz="24" w:space="5" w:color="C41230"/>
        </w:pBdr>
      </w:pPr>
      <w:r>
        <w:rPr>
          <w:rFonts w:ascii="Calibri" w:hAnsi="Calibri"/>
          <w:b/>
          <w:color w:val="941126"/>
          <w:sz w:val="21"/>
        </w:rPr>
        <w:t xml:space="preserve">Historical scope: </w:t>
      </w:r>
      <w:r>
        <w:rPr>
          <w:rFonts w:ascii="Calibri" w:hAnsi="Calibri"/>
          <w:color w:val="202124"/>
          <w:sz w:val="21"/>
        </w:rPr>
        <w:t>This portfolio edition preserves the original 2021 research period. Market facts, competitive conditions, and recommendations should be read in that context.</w:t>
      </w:r>
    </w:p>
    <w:p>
      <w:pPr>
        <w:pStyle w:val="Heading1"/>
      </w:pPr>
      <w:r>
        <w:t>Executive brief</w:t>
      </w:r>
    </w:p>
    <w:p>
      <w:pPr>
        <w:spacing w:after="160" w:line="269" w:lineRule="auto"/>
      </w:pPr>
      <w:r>
        <w:rPr>
          <w:rFonts w:ascii="Calibri" w:hAnsi="Calibri"/>
          <w:color w:val="202124"/>
          <w:sz w:val="21"/>
        </w:rPr>
        <w:t>The project evaluated how Vans could expand beyond its skateboarding, surfing, and BMX roots without weakening the cultural authenticity, accessible pricing, and community relationships that built its customer loyalty.</w:t>
      </w:r>
    </w:p>
    <w:p>
      <w:pPr>
        <w:spacing w:before="80" w:after="180" w:line="259" w:lineRule="auto"/>
        <w:ind w:left="173" w:right="144"/>
        <w:shd w:fill="FBECEF"/>
        <w:pBdr>
          <w:left w:val="single" w:sz="24" w:space="5" w:color="C41230"/>
        </w:pBdr>
      </w:pPr>
      <w:r>
        <w:rPr>
          <w:rFonts w:ascii="Calibri" w:hAnsi="Calibri"/>
          <w:b/>
          <w:color w:val="941126"/>
          <w:sz w:val="21"/>
        </w:rPr>
        <w:t xml:space="preserve">Core insight: </w:t>
      </w:r>
      <w:r>
        <w:rPr>
          <w:rFonts w:ascii="Calibri" w:hAnsi="Calibri"/>
          <w:color w:val="202124"/>
          <w:sz w:val="21"/>
        </w:rPr>
        <w:t>Vans should not compete with diversified sportswear giants by trying to serve every category. Its stronger path is to repeat the playbook that made the brand distinctive: enter culturally adjacent niches, earn credibility through communities and athletes, and scale only after demand is demonstrated.</w:t>
      </w:r>
    </w:p>
    <w:p>
      <w:pPr>
        <w:pStyle w:val="Heading2"/>
      </w:pPr>
      <w:r>
        <w:t>Recommended growth sequence</w:t>
      </w:r>
    </w:p>
    <w:tbl>
      <w:tblPr>
        <w:tblW w:type="dxa" w:w="9360"/>
        <w:tblLayout w:type="fixed"/>
        <w:tblLook w:firstColumn="1" w:firstRow="1" w:lastColumn="0" w:lastRow="0" w:noHBand="0" w:noVBand="1" w:val="04A0"/>
        <w:tblInd w:w="120" w:type="dxa"/>
        <w:tblBorders>
          <w:top w:val="single" w:sz="6" w:space="0" w:color="E2E5E9"/>
          <w:left w:val="single" w:sz="6" w:space="0" w:color="E2E5E9"/>
          <w:bottom w:val="single" w:sz="6" w:space="0" w:color="E2E5E9"/>
          <w:right w:val="single" w:sz="6" w:space="0" w:color="E2E5E9"/>
          <w:insideH w:val="single" w:sz="6" w:space="0" w:color="E2E5E9"/>
          <w:insideV w:val="single" w:sz="6" w:space="0" w:color="E2E5E9"/>
        </w:tblBorders>
      </w:tblPr>
      <w:tblGrid>
        <w:gridCol w:w="1800"/>
        <w:gridCol w:w="2580"/>
        <w:gridCol w:w="4980"/>
      </w:tblGrid>
      <w:tr>
        <w:trPr>
          <w:trHeight w:hRule="atLeast"/>
          <w:tblHeader w:val="true"/>
        </w:trPr>
        <w:tc>
          <w:tcPr>
            <w:tcW w:type="dxa" w:w="1800"/>
            <w:tcMar>
              <w:top w:w="80" w:type="dxa"/>
              <w:start w:w="120" w:type="dxa"/>
              <w:bottom w:w="80" w:type="dxa"/>
              <w:end w:w="120" w:type="dxa"/>
            </w:tcMar>
            <w:vAlign w:val="center"/>
            <w:shd w:fill="941126"/>
          </w:tcPr>
          <w:p>
            <w:pPr>
              <w:spacing w:before="0" w:after="0" w:line="252" w:lineRule="auto"/>
              <w:jc w:val="center"/>
            </w:pPr>
            <w:r/>
            <w:r>
              <w:rPr>
                <w:rFonts w:ascii="Calibri" w:hAnsi="Calibri"/>
                <w:b/>
                <w:color w:val="FFFFFF"/>
                <w:sz w:val="17"/>
              </w:rPr>
              <w:t>HORIZON</w:t>
            </w:r>
          </w:p>
        </w:tc>
        <w:tc>
          <w:tcPr>
            <w:tcW w:type="dxa" w:w="2580"/>
            <w:tcMar>
              <w:top w:w="80" w:type="dxa"/>
              <w:start w:w="120" w:type="dxa"/>
              <w:bottom w:w="80" w:type="dxa"/>
              <w:end w:w="120" w:type="dxa"/>
            </w:tcMar>
            <w:vAlign w:val="center"/>
            <w:shd w:fill="941126"/>
          </w:tcPr>
          <w:p>
            <w:pPr>
              <w:spacing w:before="0" w:after="0" w:line="252" w:lineRule="auto"/>
              <w:jc w:val="center"/>
            </w:pPr>
            <w:r/>
            <w:r>
              <w:rPr>
                <w:rFonts w:ascii="Calibri" w:hAnsi="Calibri"/>
                <w:b/>
                <w:color w:val="FFFFFF"/>
                <w:sz w:val="17"/>
              </w:rPr>
              <w:t>OPPORTUNITY</w:t>
            </w:r>
          </w:p>
        </w:tc>
        <w:tc>
          <w:tcPr>
            <w:tcW w:type="dxa" w:w="4980"/>
            <w:tcMar>
              <w:top w:w="80" w:type="dxa"/>
              <w:start w:w="120" w:type="dxa"/>
              <w:bottom w:w="80" w:type="dxa"/>
              <w:end w:w="120" w:type="dxa"/>
            </w:tcMar>
            <w:vAlign w:val="center"/>
            <w:shd w:fill="941126"/>
          </w:tcPr>
          <w:p>
            <w:pPr>
              <w:spacing w:before="0" w:after="0" w:line="252" w:lineRule="auto"/>
              <w:jc w:val="center"/>
            </w:pPr>
            <w:r/>
            <w:r>
              <w:rPr>
                <w:rFonts w:ascii="Calibri" w:hAnsi="Calibri"/>
                <w:b/>
                <w:color w:val="FFFFFF"/>
                <w:sz w:val="17"/>
              </w:rPr>
              <w:t>STRATEGIC ROLE</w:t>
            </w:r>
          </w:p>
        </w:tc>
      </w:tr>
      <w:tr>
        <w:trPr>
          <w:trHeight w:hRule="atLeast"/>
        </w:trPr>
        <w:tc>
          <w:tcPr>
            <w:tcW w:type="dxa" w:w="1800"/>
            <w:tcMar>
              <w:top w:w="80" w:type="dxa"/>
              <w:start w:w="120" w:type="dxa"/>
              <w:bottom w:w="80" w:type="dxa"/>
              <w:end w:w="120" w:type="dxa"/>
            </w:tcMar>
            <w:vAlign w:val="center"/>
          </w:tcPr>
          <w:p>
            <w:pPr>
              <w:spacing w:before="0" w:after="0" w:line="252" w:lineRule="auto"/>
              <w:jc w:val="left"/>
            </w:pPr>
            <w:r/>
            <w:r>
              <w:rPr>
                <w:rFonts w:ascii="Calibri" w:hAnsi="Calibri"/>
                <w:b w:val="0"/>
                <w:color w:val="202124"/>
                <w:sz w:val="17"/>
              </w:rPr>
              <w:t>Validate first</w:t>
            </w:r>
          </w:p>
        </w:tc>
        <w:tc>
          <w:tcPr>
            <w:tcW w:type="dxa" w:w="2580"/>
            <w:tcMar>
              <w:top w:w="80" w:type="dxa"/>
              <w:start w:w="120" w:type="dxa"/>
              <w:bottom w:w="80" w:type="dxa"/>
              <w:end w:w="120" w:type="dxa"/>
            </w:tcMar>
            <w:vAlign w:val="center"/>
          </w:tcPr>
          <w:p>
            <w:pPr>
              <w:spacing w:before="0" w:after="0" w:line="252" w:lineRule="auto"/>
              <w:jc w:val="left"/>
            </w:pPr>
            <w:r/>
            <w:r>
              <w:rPr>
                <w:rFonts w:ascii="Calibri" w:hAnsi="Calibri"/>
                <w:b w:val="0"/>
                <w:color w:val="202124"/>
                <w:sz w:val="17"/>
              </w:rPr>
              <w:t>Lifting / gym</w:t>
            </w:r>
          </w:p>
        </w:tc>
        <w:tc>
          <w:tcPr>
            <w:tcW w:type="dxa" w:w="4980"/>
            <w:tcMar>
              <w:top w:w="80" w:type="dxa"/>
              <w:start w:w="120" w:type="dxa"/>
              <w:bottom w:w="80" w:type="dxa"/>
              <w:end w:w="120" w:type="dxa"/>
            </w:tcMar>
            <w:vAlign w:val="center"/>
          </w:tcPr>
          <w:p>
            <w:pPr>
              <w:spacing w:before="0" w:after="0" w:line="252" w:lineRule="auto"/>
              <w:jc w:val="left"/>
            </w:pPr>
            <w:r/>
            <w:r>
              <w:rPr>
                <w:rFonts w:ascii="Calibri" w:hAnsi="Calibri"/>
                <w:b w:val="0"/>
                <w:color w:val="202124"/>
                <w:sz w:val="17"/>
              </w:rPr>
              <w:t>Test an existing product-use behavior before committing to a new technical line.</w:t>
            </w:r>
          </w:p>
        </w:tc>
      </w:tr>
      <w:tr>
        <w:trPr>
          <w:trHeight w:hRule="atLeast"/>
        </w:trPr>
        <w:tc>
          <w:tcPr>
            <w:tcW w:type="dxa" w:w="1800"/>
            <w:tcMar>
              <w:top w:w="80" w:type="dxa"/>
              <w:start w:w="120" w:type="dxa"/>
              <w:bottom w:w="80" w:type="dxa"/>
              <w:end w:w="120" w:type="dxa"/>
            </w:tcMar>
            <w:vAlign w:val="center"/>
            <w:shd w:fill="F3F4F6"/>
          </w:tcPr>
          <w:p>
            <w:pPr>
              <w:spacing w:before="0" w:after="0" w:line="252" w:lineRule="auto"/>
              <w:jc w:val="left"/>
            </w:pPr>
            <w:r/>
            <w:r>
              <w:rPr>
                <w:rFonts w:ascii="Calibri" w:hAnsi="Calibri"/>
                <w:b w:val="0"/>
                <w:color w:val="202124"/>
                <w:sz w:val="17"/>
              </w:rPr>
              <w:t>Near term</w:t>
            </w:r>
          </w:p>
        </w:tc>
        <w:tc>
          <w:tcPr>
            <w:tcW w:type="dxa" w:w="2580"/>
            <w:tcMar>
              <w:top w:w="80" w:type="dxa"/>
              <w:start w:w="120" w:type="dxa"/>
              <w:bottom w:w="80" w:type="dxa"/>
              <w:end w:w="120" w:type="dxa"/>
            </w:tcMar>
            <w:vAlign w:val="center"/>
            <w:shd w:fill="F3F4F6"/>
          </w:tcPr>
          <w:p>
            <w:pPr>
              <w:spacing w:before="0" w:after="0" w:line="252" w:lineRule="auto"/>
              <w:jc w:val="left"/>
            </w:pPr>
            <w:r/>
            <w:r>
              <w:rPr>
                <w:rFonts w:ascii="Calibri" w:hAnsi="Calibri"/>
                <w:b w:val="0"/>
                <w:color w:val="202124"/>
                <w:sz w:val="17"/>
              </w:rPr>
              <w:t>Indoor soccer</w:t>
            </w:r>
          </w:p>
        </w:tc>
        <w:tc>
          <w:tcPr>
            <w:tcW w:type="dxa" w:w="4980"/>
            <w:tcMar>
              <w:top w:w="80" w:type="dxa"/>
              <w:start w:w="120" w:type="dxa"/>
              <w:bottom w:w="80" w:type="dxa"/>
              <w:end w:w="120" w:type="dxa"/>
            </w:tcMar>
            <w:vAlign w:val="center"/>
            <w:shd w:fill="F3F4F6"/>
          </w:tcPr>
          <w:p>
            <w:pPr>
              <w:spacing w:before="0" w:after="0" w:line="252" w:lineRule="auto"/>
              <w:jc w:val="left"/>
            </w:pPr>
            <w:r/>
            <w:r>
              <w:rPr>
                <w:rFonts w:ascii="Calibri" w:hAnsi="Calibri"/>
                <w:b w:val="0"/>
                <w:color w:val="202124"/>
                <w:sz w:val="17"/>
              </w:rPr>
              <w:t>Build a limited, community-centered entry where grip, style, and cultural crossover support the proposition.</w:t>
            </w:r>
          </w:p>
        </w:tc>
      </w:tr>
      <w:tr>
        <w:trPr>
          <w:trHeight w:hRule="atLeast"/>
        </w:trPr>
        <w:tc>
          <w:tcPr>
            <w:tcW w:type="dxa" w:w="1800"/>
            <w:tcMar>
              <w:top w:w="80" w:type="dxa"/>
              <w:start w:w="120" w:type="dxa"/>
              <w:bottom w:w="80" w:type="dxa"/>
              <w:end w:w="120" w:type="dxa"/>
            </w:tcMar>
            <w:vAlign w:val="center"/>
          </w:tcPr>
          <w:p>
            <w:pPr>
              <w:spacing w:before="0" w:after="0" w:line="252" w:lineRule="auto"/>
              <w:jc w:val="left"/>
            </w:pPr>
            <w:r/>
            <w:r>
              <w:rPr>
                <w:rFonts w:ascii="Calibri" w:hAnsi="Calibri"/>
                <w:b w:val="0"/>
                <w:color w:val="202124"/>
                <w:sz w:val="17"/>
              </w:rPr>
              <w:t>Explore</w:t>
            </w:r>
          </w:p>
        </w:tc>
        <w:tc>
          <w:tcPr>
            <w:tcW w:type="dxa" w:w="2580"/>
            <w:tcMar>
              <w:top w:w="80" w:type="dxa"/>
              <w:start w:w="120" w:type="dxa"/>
              <w:bottom w:w="80" w:type="dxa"/>
              <w:end w:w="120" w:type="dxa"/>
            </w:tcMar>
            <w:vAlign w:val="center"/>
          </w:tcPr>
          <w:p>
            <w:pPr>
              <w:spacing w:before="0" w:after="0" w:line="252" w:lineRule="auto"/>
              <w:jc w:val="left"/>
            </w:pPr>
            <w:r/>
            <w:r>
              <w:rPr>
                <w:rFonts w:ascii="Calibri" w:hAnsi="Calibri"/>
                <w:b w:val="0"/>
                <w:color w:val="202124"/>
                <w:sz w:val="17"/>
              </w:rPr>
              <w:t>Rock climbing</w:t>
            </w:r>
          </w:p>
        </w:tc>
        <w:tc>
          <w:tcPr>
            <w:tcW w:type="dxa" w:w="4980"/>
            <w:tcMar>
              <w:top w:w="80" w:type="dxa"/>
              <w:start w:w="120" w:type="dxa"/>
              <w:bottom w:w="80" w:type="dxa"/>
              <w:end w:w="120" w:type="dxa"/>
            </w:tcMar>
            <w:vAlign w:val="center"/>
          </w:tcPr>
          <w:p>
            <w:pPr>
              <w:spacing w:before="0" w:after="0" w:line="252" w:lineRule="auto"/>
              <w:jc w:val="left"/>
            </w:pPr>
            <w:r/>
            <w:r>
              <w:rPr>
                <w:rFonts w:ascii="Calibri" w:hAnsi="Calibri"/>
                <w:b w:val="0"/>
                <w:color w:val="202124"/>
                <w:sz w:val="17"/>
              </w:rPr>
              <w:t>Develop credibility through athlete and community engagement before product investment.</w:t>
            </w:r>
          </w:p>
        </w:tc>
      </w:tr>
      <w:tr>
        <w:trPr>
          <w:trHeight w:hRule="atLeast"/>
        </w:trPr>
        <w:tc>
          <w:tcPr>
            <w:tcW w:type="dxa" w:w="1800"/>
            <w:tcMar>
              <w:top w:w="80" w:type="dxa"/>
              <w:start w:w="120" w:type="dxa"/>
              <w:bottom w:w="80" w:type="dxa"/>
              <w:end w:w="120" w:type="dxa"/>
            </w:tcMar>
            <w:vAlign w:val="center"/>
            <w:shd w:fill="F3F4F6"/>
          </w:tcPr>
          <w:p>
            <w:pPr>
              <w:spacing w:before="0" w:after="0" w:line="252" w:lineRule="auto"/>
              <w:jc w:val="left"/>
            </w:pPr>
            <w:r/>
            <w:r>
              <w:rPr>
                <w:rFonts w:ascii="Calibri" w:hAnsi="Calibri"/>
                <w:b w:val="0"/>
                <w:color w:val="202124"/>
                <w:sz w:val="17"/>
              </w:rPr>
              <w:t>Long term</w:t>
            </w:r>
          </w:p>
        </w:tc>
        <w:tc>
          <w:tcPr>
            <w:tcW w:type="dxa" w:w="2580"/>
            <w:tcMar>
              <w:top w:w="80" w:type="dxa"/>
              <w:start w:w="120" w:type="dxa"/>
              <w:bottom w:w="80" w:type="dxa"/>
              <w:end w:w="120" w:type="dxa"/>
            </w:tcMar>
            <w:vAlign w:val="center"/>
            <w:shd w:fill="F3F4F6"/>
          </w:tcPr>
          <w:p>
            <w:pPr>
              <w:spacing w:before="0" w:after="0" w:line="252" w:lineRule="auto"/>
              <w:jc w:val="left"/>
            </w:pPr>
            <w:r/>
            <w:r>
              <w:rPr>
                <w:rFonts w:ascii="Calibri" w:hAnsi="Calibri"/>
                <w:b w:val="0"/>
                <w:color w:val="202124"/>
                <w:sz w:val="17"/>
              </w:rPr>
              <w:t>Hiking / family lifestyle</w:t>
            </w:r>
          </w:p>
        </w:tc>
        <w:tc>
          <w:tcPr>
            <w:tcW w:type="dxa" w:w="4980"/>
            <w:tcMar>
              <w:top w:w="80" w:type="dxa"/>
              <w:start w:w="120" w:type="dxa"/>
              <w:bottom w:w="80" w:type="dxa"/>
              <w:end w:w="120" w:type="dxa"/>
            </w:tcMar>
            <w:vAlign w:val="center"/>
            <w:shd w:fill="F3F4F6"/>
          </w:tcPr>
          <w:p>
            <w:pPr>
              <w:spacing w:before="0" w:after="0" w:line="252" w:lineRule="auto"/>
              <w:jc w:val="left"/>
            </w:pPr>
            <w:r/>
            <w:r>
              <w:rPr>
                <w:rFonts w:ascii="Calibri" w:hAnsi="Calibri"/>
                <w:b w:val="0"/>
                <w:color w:val="202124"/>
                <w:sz w:val="17"/>
              </w:rPr>
              <w:t>Use VF Corporation capabilities and an aging loyal customer base to evaluate a broader lifestyle adjacency.</w:t>
            </w:r>
          </w:p>
        </w:tc>
      </w:tr>
    </w:tbl>
    <w:p>
      <w:pPr>
        <w:pStyle w:val="Heading2"/>
      </w:pPr>
      <w:r>
        <w:t>Scope and method</w:t>
      </w:r>
    </w:p>
    <w:p>
      <w:pPr>
        <w:spacing w:before="80" w:after="180" w:line="259" w:lineRule="auto"/>
        <w:ind w:left="173" w:right="144"/>
        <w:shd w:fill="F3F4F6"/>
        <w:pBdr>
          <w:left w:val="single" w:sz="24" w:space="5" w:color="C41230"/>
        </w:pBdr>
      </w:pPr>
      <w:r>
        <w:rPr>
          <w:rFonts w:ascii="Calibri" w:hAnsi="Calibri"/>
          <w:b/>
          <w:color w:val="941126"/>
          <w:sz w:val="21"/>
        </w:rPr>
        <w:t xml:space="preserve">Approach: </w:t>
      </w:r>
      <w:r>
        <w:rPr>
          <w:rFonts w:ascii="Calibri" w:hAnsi="Calibri"/>
          <w:color w:val="202124"/>
          <w:sz w:val="21"/>
        </w:rPr>
        <w:t>The work combined secondary market research, customer segmentation, competitor analysis, positioning, marketing-mix development, implementation planning, and performance controls.</w:t>
      </w:r>
    </w:p>
    <w:p>
      <w:r>
        <w:br w:type="page"/>
      </w:r>
    </w:p>
    <w:p>
      <w:pPr>
        <w:pStyle w:val="Heading1"/>
        <w:spacing w:before="40"/>
        <w:pBdr>
          <w:bottom w:val="single" w:sz="6" w:space="3" w:color="E2E5E9"/>
        </w:pBdr>
      </w:pPr>
      <w:r>
        <w:rPr>
          <w:rFonts w:ascii="Calibri" w:hAnsi="Calibri"/>
          <w:b/>
          <w:color w:val="941126"/>
          <w:sz w:val="32"/>
        </w:rPr>
        <w:t>01  Research and market landscape</w:t>
      </w:r>
    </w:p>
    <w:p>
      <w:pPr>
        <w:spacing w:after="180"/>
      </w:pPr>
      <w:r>
        <w:rPr>
          <w:rFonts w:ascii="Calibri" w:hAnsi="Calibri"/>
          <w:i/>
          <w:color w:val="5F6368"/>
          <w:sz w:val="20"/>
        </w:rPr>
        <w:t>Secondary research translated into a decision framework for brand expansion.</w:t>
      </w:r>
    </w:p>
    <w:p>
      <w:pPr>
        <w:pStyle w:val="Heading2"/>
      </w:pPr>
      <w:r>
        <w:t>Research approach</w:t>
      </w:r>
    </w:p>
    <w:p>
      <w:pPr>
        <w:numPr>
          <w:ilvl w:val="0"/>
          <w:numId w:val="10"/>
        </w:numPr>
        <w:spacing w:before="0" w:after="80" w:line="264" w:lineRule="auto"/>
      </w:pPr>
      <w:r>
        <w:rPr>
          <w:rFonts w:ascii="Calibri" w:hAnsi="Calibri"/>
          <w:color w:val="202124"/>
          <w:sz w:val="20"/>
        </w:rPr>
        <w:t>Assessed the internal and external environment, including brand strengths, channel position, customer loyalty, global growth, and post-COVID retail conditions.</w:t>
      </w:r>
    </w:p>
    <w:p>
      <w:pPr>
        <w:numPr>
          <w:ilvl w:val="0"/>
          <w:numId w:val="10"/>
        </w:numPr>
        <w:spacing w:before="0" w:after="80" w:line="264" w:lineRule="auto"/>
      </w:pPr>
      <w:r>
        <w:rPr>
          <w:rFonts w:ascii="Calibri" w:hAnsi="Calibri"/>
          <w:color w:val="202124"/>
          <w:sz w:val="20"/>
        </w:rPr>
        <w:t>Benchmarked Vans against Nike/Converse, Adidas, Puma, and New Balance to identify where scale competitors held an advantage and where Vans retained differentiation.</w:t>
      </w:r>
    </w:p>
    <w:p>
      <w:pPr>
        <w:numPr>
          <w:ilvl w:val="0"/>
          <w:numId w:val="10"/>
        </w:numPr>
        <w:spacing w:before="0" w:after="80" w:line="264" w:lineRule="auto"/>
      </w:pPr>
      <w:r>
        <w:rPr>
          <w:rFonts w:ascii="Calibri" w:hAnsi="Calibri"/>
          <w:color w:val="202124"/>
          <w:sz w:val="20"/>
        </w:rPr>
        <w:t>Synthesized corporate reporting, brand materials, business press, and marketing-industry sources available during the 2021 research period.</w:t>
      </w:r>
    </w:p>
    <w:p>
      <w:pPr>
        <w:numPr>
          <w:ilvl w:val="0"/>
          <w:numId w:val="10"/>
        </w:numPr>
        <w:spacing w:before="0" w:after="160" w:line="264" w:lineRule="auto"/>
      </w:pPr>
      <w:r>
        <w:rPr>
          <w:rFonts w:ascii="Calibri" w:hAnsi="Calibri"/>
          <w:color w:val="202124"/>
          <w:sz w:val="20"/>
        </w:rPr>
        <w:t>Converted the findings into customer segments, market opportunities, marketing-mix choices, and a staged measurement plan.</w:t>
      </w:r>
    </w:p>
    <w:p>
      <w:pPr>
        <w:pStyle w:val="Heading2"/>
      </w:pPr>
      <w:r>
        <w:t>Market signals identified in the 2021 evidence base</w:t>
      </w:r>
    </w:p>
    <w:tbl>
      <w:tblPr>
        <w:tblW w:type="dxa" w:w="9360"/>
        <w:tblLayout w:type="fixed"/>
        <w:tblLook w:firstColumn="1" w:firstRow="1" w:lastColumn="0" w:lastRow="0" w:noHBand="0" w:noVBand="1" w:val="04A0"/>
        <w:tblInd w:w="120" w:type="dxa"/>
        <w:tblBorders>
          <w:top w:val="single" w:sz="8" w:space="0" w:color="C41230"/>
          <w:left w:val="single" w:sz="8" w:space="0" w:color="C41230"/>
          <w:bottom w:val="single" w:sz="8" w:space="0" w:color="C41230"/>
          <w:right w:val="single" w:sz="8" w:space="0" w:color="C41230"/>
          <w:insideH w:val="single" w:sz="8" w:space="0" w:color="C41230"/>
          <w:insideV w:val="single" w:sz="8" w:space="0" w:color="C41230"/>
        </w:tblBorders>
      </w:tblPr>
      <w:tblGrid>
        <w:gridCol w:w="3120"/>
        <w:gridCol w:w="3120"/>
        <w:gridCol w:w="3120"/>
      </w:tblGrid>
      <w:tr>
        <w:trPr>
          <w:trHeight w:hRule="atLeast"/>
        </w:trPr>
        <w:tc>
          <w:tcPr>
            <w:tcW w:type="dxa" w:w="3120"/>
            <w:tcMar>
              <w:top w:w="80" w:type="dxa"/>
              <w:start w:w="120" w:type="dxa"/>
              <w:bottom w:w="80" w:type="dxa"/>
              <w:end w:w="120" w:type="dxa"/>
            </w:tcMar>
            <w:vAlign w:val="center"/>
            <w:shd w:fill="FBECEF"/>
          </w:tcPr>
          <w:p>
            <w:pPr>
              <w:spacing w:before="0" w:after="0" w:line="252" w:lineRule="auto"/>
              <w:jc w:val="center"/>
            </w:pPr>
            <w:r/>
            <w:r>
              <w:rPr>
                <w:rFonts w:ascii="Calibri" w:hAnsi="Calibri"/>
                <w:b/>
                <w:color w:val="941126"/>
                <w:sz w:val="36"/>
              </w:rPr>
              <w:t>≈670</w:t>
            </w:r>
          </w:p>
        </w:tc>
        <w:tc>
          <w:tcPr>
            <w:tcW w:type="dxa" w:w="3120"/>
            <w:tcMar>
              <w:top w:w="80" w:type="dxa"/>
              <w:start w:w="120" w:type="dxa"/>
              <w:bottom w:w="80" w:type="dxa"/>
              <w:end w:w="120" w:type="dxa"/>
            </w:tcMar>
            <w:vAlign w:val="center"/>
            <w:shd w:fill="FBECEF"/>
          </w:tcPr>
          <w:p>
            <w:pPr>
              <w:spacing w:before="0" w:after="0" w:line="252" w:lineRule="auto"/>
              <w:jc w:val="center"/>
            </w:pPr>
            <w:r/>
            <w:r>
              <w:rPr>
                <w:rFonts w:ascii="Calibri" w:hAnsi="Calibri"/>
                <w:b/>
                <w:color w:val="941126"/>
                <w:sz w:val="36"/>
              </w:rPr>
              <w:t>≈$3B</w:t>
            </w:r>
          </w:p>
        </w:tc>
        <w:tc>
          <w:tcPr>
            <w:tcW w:type="dxa" w:w="3120"/>
            <w:tcMar>
              <w:top w:w="80" w:type="dxa"/>
              <w:start w:w="120" w:type="dxa"/>
              <w:bottom w:w="80" w:type="dxa"/>
              <w:end w:w="120" w:type="dxa"/>
            </w:tcMar>
            <w:vAlign w:val="center"/>
            <w:shd w:fill="FBECEF"/>
          </w:tcPr>
          <w:p>
            <w:pPr>
              <w:spacing w:before="0" w:after="0" w:line="252" w:lineRule="auto"/>
              <w:jc w:val="center"/>
            </w:pPr>
            <w:r/>
            <w:r>
              <w:rPr>
                <w:rFonts w:ascii="Calibri" w:hAnsi="Calibri"/>
                <w:b/>
                <w:color w:val="941126"/>
                <w:sz w:val="36"/>
              </w:rPr>
              <w:t>&gt;20M</w:t>
            </w:r>
          </w:p>
        </w:tc>
      </w:tr>
      <w:tr>
        <w:trPr>
          <w:trHeight w:hRule="atLeast"/>
        </w:trPr>
        <w:tc>
          <w:tcPr>
            <w:tcW w:type="dxa" w:w="3120"/>
            <w:tcMar>
              <w:top w:w="80" w:type="dxa"/>
              <w:start w:w="120" w:type="dxa"/>
              <w:bottom w:w="80" w:type="dxa"/>
              <w:end w:w="120" w:type="dxa"/>
            </w:tcMar>
            <w:vAlign w:val="center"/>
          </w:tcPr>
          <w:p>
            <w:pPr>
              <w:spacing w:before="0" w:after="0" w:line="252" w:lineRule="auto"/>
              <w:jc w:val="center"/>
            </w:pPr>
            <w:r/>
            <w:r>
              <w:rPr>
                <w:rFonts w:ascii="Calibri" w:hAnsi="Calibri"/>
                <w:b w:val="0"/>
                <w:color w:val="5F6368"/>
                <w:sz w:val="17"/>
              </w:rPr>
              <w:t>global stores reported for 2018, up from 148 in 2004</w:t>
            </w:r>
          </w:p>
        </w:tc>
        <w:tc>
          <w:tcPr>
            <w:tcW w:type="dxa" w:w="3120"/>
            <w:tcMar>
              <w:top w:w="80" w:type="dxa"/>
              <w:start w:w="120" w:type="dxa"/>
              <w:bottom w:w="80" w:type="dxa"/>
              <w:end w:w="120" w:type="dxa"/>
            </w:tcMar>
            <w:vAlign w:val="center"/>
          </w:tcPr>
          <w:p>
            <w:pPr>
              <w:spacing w:before="0" w:after="0" w:line="252" w:lineRule="auto"/>
              <w:jc w:val="center"/>
            </w:pPr>
            <w:r/>
            <w:r>
              <w:rPr>
                <w:rFonts w:ascii="Calibri" w:hAnsi="Calibri"/>
                <w:b w:val="0"/>
                <w:color w:val="5F6368"/>
                <w:sz w:val="17"/>
              </w:rPr>
              <w:t>2018 revenue cited in the original research, versus $360M in 2004</w:t>
            </w:r>
          </w:p>
        </w:tc>
        <w:tc>
          <w:tcPr>
            <w:tcW w:type="dxa" w:w="3120"/>
            <w:tcMar>
              <w:top w:w="80" w:type="dxa"/>
              <w:start w:w="120" w:type="dxa"/>
              <w:bottom w:w="80" w:type="dxa"/>
              <w:end w:w="120" w:type="dxa"/>
            </w:tcMar>
            <w:vAlign w:val="center"/>
          </w:tcPr>
          <w:p>
            <w:pPr>
              <w:spacing w:before="0" w:after="0" w:line="252" w:lineRule="auto"/>
              <w:jc w:val="center"/>
            </w:pPr>
            <w:r/>
            <w:r>
              <w:rPr>
                <w:rFonts w:ascii="Calibri" w:hAnsi="Calibri"/>
                <w:b w:val="0"/>
                <w:color w:val="5F6368"/>
                <w:sz w:val="17"/>
              </w:rPr>
              <w:t>combined social following cited across major platforms</w:t>
            </w:r>
          </w:p>
        </w:tc>
      </w:tr>
    </w:tbl>
    <w:p>
      <w:pPr>
        <w:spacing w:before="80" w:after="160"/>
      </w:pPr>
      <w:r>
        <w:rPr>
          <w:rFonts w:ascii="Calibri" w:hAnsi="Calibri"/>
          <w:i/>
          <w:color w:val="5F6368"/>
          <w:sz w:val="16"/>
        </w:rPr>
        <w:t>Source note: figures above reproduce the original project’s 2021 evidence base and are not presented as current metrics.</w:t>
      </w:r>
    </w:p>
    <w:p>
      <w:pPr>
        <w:pStyle w:val="Heading2"/>
      </w:pPr>
      <w:r>
        <w:t>SWOT synthesis</w:t>
      </w:r>
    </w:p>
    <w:tbl>
      <w:tblPr>
        <w:tblW w:type="dxa" w:w="9360"/>
        <w:tblLayout w:type="fixed"/>
        <w:tblLook w:firstColumn="1" w:firstRow="1" w:lastColumn="0" w:lastRow="0" w:noHBand="0" w:noVBand="1" w:val="04A0"/>
        <w:tblInd w:w="120" w:type="dxa"/>
        <w:tblBorders>
          <w:top w:val="single" w:sz="6" w:space="0" w:color="E2E5E9"/>
          <w:left w:val="single" w:sz="6" w:space="0" w:color="E2E5E9"/>
          <w:bottom w:val="single" w:sz="6" w:space="0" w:color="E2E5E9"/>
          <w:right w:val="single" w:sz="6" w:space="0" w:color="E2E5E9"/>
          <w:insideH w:val="single" w:sz="6" w:space="0" w:color="E2E5E9"/>
          <w:insideV w:val="single" w:sz="6" w:space="0" w:color="E2E5E9"/>
        </w:tblBorders>
      </w:tblPr>
      <w:tblGrid>
        <w:gridCol w:w="4680"/>
        <w:gridCol w:w="4680"/>
      </w:tblGrid>
      <w:tr>
        <w:trPr>
          <w:trHeight w:hRule="atLeast"/>
        </w:trPr>
        <w:tc>
          <w:tcPr>
            <w:tcW w:type="dxa" w:w="4680"/>
            <w:tcMar>
              <w:top w:w="80" w:type="dxa"/>
              <w:start w:w="120" w:type="dxa"/>
              <w:bottom w:w="80" w:type="dxa"/>
              <w:end w:w="120" w:type="dxa"/>
            </w:tcMar>
            <w:vAlign w:val="center"/>
            <w:shd w:fill="F3F4F6"/>
          </w:tcPr>
          <w:p>
            <w:pPr>
              <w:spacing w:after="60"/>
            </w:pPr>
            <w:r/>
            <w:r>
              <w:rPr>
                <w:rFonts w:ascii="Calibri" w:hAnsi="Calibri"/>
                <w:b/>
                <w:color w:val="941126"/>
                <w:sz w:val="18"/>
              </w:rPr>
              <w:t>STRENGTHS</w:t>
            </w:r>
          </w:p>
          <w:p>
            <w:pPr>
              <w:spacing w:after="0" w:line="252" w:lineRule="auto"/>
            </w:pPr>
            <w:r>
              <w:rPr>
                <w:rFonts w:ascii="Calibri" w:hAnsi="Calibri"/>
                <w:color w:val="202124"/>
                <w:sz w:val="17"/>
              </w:rPr>
              <w:t>Brand authenticity and loyalty; action-sports credibility; accessible core pricing; collaborations; global stores and e-commerce.</w:t>
            </w:r>
          </w:p>
        </w:tc>
        <w:tc>
          <w:tcPr>
            <w:tcW w:type="dxa" w:w="4680"/>
            <w:tcMar>
              <w:top w:w="80" w:type="dxa"/>
              <w:start w:w="120" w:type="dxa"/>
              <w:bottom w:w="80" w:type="dxa"/>
              <w:end w:w="120" w:type="dxa"/>
            </w:tcMar>
            <w:vAlign w:val="center"/>
            <w:shd w:fill="FFFFFF"/>
          </w:tcPr>
          <w:p>
            <w:pPr>
              <w:spacing w:after="60"/>
            </w:pPr>
            <w:r/>
            <w:r>
              <w:rPr>
                <w:rFonts w:ascii="Calibri" w:hAnsi="Calibri"/>
                <w:b/>
                <w:color w:val="941126"/>
                <w:sz w:val="18"/>
              </w:rPr>
              <w:t>WEAKNESSES</w:t>
            </w:r>
          </w:p>
          <w:p>
            <w:pPr>
              <w:spacing w:after="0" w:line="252" w:lineRule="auto"/>
            </w:pPr>
            <w:r>
              <w:rPr>
                <w:rFonts w:ascii="Calibri" w:hAnsi="Calibri"/>
                <w:color w:val="202124"/>
                <w:sz w:val="17"/>
              </w:rPr>
              <w:t>Narrower category reach; difficult lifestyle repositioning; less diversification than major competitors; cost and emerging-market challenges.</w:t>
            </w:r>
          </w:p>
        </w:tc>
      </w:tr>
      <w:tr>
        <w:trPr>
          <w:trHeight w:hRule="atLeast"/>
        </w:trPr>
        <w:tc>
          <w:tcPr>
            <w:tcW w:type="dxa" w:w="4680"/>
            <w:tcMar>
              <w:top w:w="80" w:type="dxa"/>
              <w:start w:w="120" w:type="dxa"/>
              <w:bottom w:w="80" w:type="dxa"/>
              <w:end w:w="120" w:type="dxa"/>
            </w:tcMar>
            <w:vAlign w:val="center"/>
            <w:shd w:fill="FFFFFF"/>
          </w:tcPr>
          <w:p>
            <w:pPr>
              <w:spacing w:after="60"/>
            </w:pPr>
            <w:r/>
            <w:r>
              <w:rPr>
                <w:rFonts w:ascii="Calibri" w:hAnsi="Calibri"/>
                <w:b/>
                <w:color w:val="941126"/>
                <w:sz w:val="18"/>
              </w:rPr>
              <w:t>OPPORTUNITIES</w:t>
            </w:r>
          </w:p>
          <w:p>
            <w:pPr>
              <w:spacing w:after="0" w:line="252" w:lineRule="auto"/>
            </w:pPr>
            <w:r>
              <w:rPr>
                <w:rFonts w:ascii="Calibri" w:hAnsi="Calibri"/>
                <w:color w:val="202124"/>
                <w:sz w:val="17"/>
              </w:rPr>
              <w:t>Fragmented sport subcultures; digital community-building; international streetwear interest; collaborations and VF portfolio capabilities.</w:t>
            </w:r>
          </w:p>
        </w:tc>
        <w:tc>
          <w:tcPr>
            <w:tcW w:type="dxa" w:w="4680"/>
            <w:tcMar>
              <w:top w:w="80" w:type="dxa"/>
              <w:start w:w="120" w:type="dxa"/>
              <w:bottom w:w="80" w:type="dxa"/>
              <w:end w:w="120" w:type="dxa"/>
            </w:tcMar>
            <w:vAlign w:val="center"/>
            <w:shd w:fill="F3F4F6"/>
          </w:tcPr>
          <w:p>
            <w:pPr>
              <w:spacing w:after="60"/>
            </w:pPr>
            <w:r/>
            <w:r>
              <w:rPr>
                <w:rFonts w:ascii="Calibri" w:hAnsi="Calibri"/>
                <w:b/>
                <w:color w:val="941126"/>
                <w:sz w:val="18"/>
              </w:rPr>
              <w:t>THREATS</w:t>
            </w:r>
          </w:p>
          <w:p>
            <w:pPr>
              <w:spacing w:after="0" w:line="252" w:lineRule="auto"/>
            </w:pPr>
            <w:r>
              <w:rPr>
                <w:rFonts w:ascii="Calibri" w:hAnsi="Calibri"/>
                <w:color w:val="202124"/>
                <w:sz w:val="17"/>
              </w:rPr>
              <w:t>Nike/Adidas/Puma/New Balance scale; counterfeits; post-pandemic retail uncertainty; cultural dilution from expansion.</w:t>
            </w:r>
          </w:p>
        </w:tc>
      </w:tr>
    </w:tbl>
    <w:p>
      <w:pPr>
        <w:pStyle w:val="Heading2"/>
      </w:pPr>
      <w:r>
        <w:t>Competitive interpretation</w:t>
      </w:r>
    </w:p>
    <w:tbl>
      <w:tblPr>
        <w:tblW w:type="dxa" w:w="9360"/>
        <w:tblLayout w:type="fixed"/>
        <w:tblLook w:firstColumn="1" w:firstRow="1" w:lastColumn="0" w:lastRow="0" w:noHBand="0" w:noVBand="1" w:val="04A0"/>
        <w:tblInd w:w="120" w:type="dxa"/>
        <w:tblBorders>
          <w:top w:val="single" w:sz="6" w:space="0" w:color="E2E5E9"/>
          <w:left w:val="single" w:sz="6" w:space="0" w:color="E2E5E9"/>
          <w:bottom w:val="single" w:sz="6" w:space="0" w:color="E2E5E9"/>
          <w:right w:val="single" w:sz="6" w:space="0" w:color="E2E5E9"/>
          <w:insideH w:val="single" w:sz="6" w:space="0" w:color="E2E5E9"/>
          <w:insideV w:val="single" w:sz="6" w:space="0" w:color="E2E5E9"/>
        </w:tblBorders>
      </w:tblPr>
      <w:tblGrid>
        <w:gridCol w:w="1800"/>
        <w:gridCol w:w="3360"/>
        <w:gridCol w:w="4200"/>
      </w:tblGrid>
      <w:tr>
        <w:trPr>
          <w:trHeight w:hRule="atLeast"/>
          <w:tblHeader w:val="true"/>
        </w:trPr>
        <w:tc>
          <w:tcPr>
            <w:tcW w:type="dxa" w:w="1800"/>
            <w:tcMar>
              <w:top w:w="80" w:type="dxa"/>
              <w:start w:w="120" w:type="dxa"/>
              <w:bottom w:w="80" w:type="dxa"/>
              <w:end w:w="120" w:type="dxa"/>
            </w:tcMar>
            <w:vAlign w:val="center"/>
            <w:shd w:fill="941126"/>
          </w:tcPr>
          <w:p>
            <w:pPr>
              <w:spacing w:before="0" w:after="0" w:line="252" w:lineRule="auto"/>
              <w:jc w:val="center"/>
            </w:pPr>
            <w:r/>
            <w:r>
              <w:rPr>
                <w:rFonts w:ascii="Calibri" w:hAnsi="Calibri"/>
                <w:b/>
                <w:color w:val="FFFFFF"/>
                <w:sz w:val="17"/>
              </w:rPr>
              <w:t>COMPETITOR</w:t>
            </w:r>
          </w:p>
        </w:tc>
        <w:tc>
          <w:tcPr>
            <w:tcW w:type="dxa" w:w="3360"/>
            <w:tcMar>
              <w:top w:w="80" w:type="dxa"/>
              <w:start w:w="120" w:type="dxa"/>
              <w:bottom w:w="80" w:type="dxa"/>
              <w:end w:w="120" w:type="dxa"/>
            </w:tcMar>
            <w:vAlign w:val="center"/>
            <w:shd w:fill="941126"/>
          </w:tcPr>
          <w:p>
            <w:pPr>
              <w:spacing w:before="0" w:after="0" w:line="252" w:lineRule="auto"/>
              <w:jc w:val="center"/>
            </w:pPr>
            <w:r/>
            <w:r>
              <w:rPr>
                <w:rFonts w:ascii="Calibri" w:hAnsi="Calibri"/>
                <w:b/>
                <w:color w:val="FFFFFF"/>
                <w:sz w:val="17"/>
              </w:rPr>
              <w:t>2021 STRATEGIC ADVANTAGE</w:t>
            </w:r>
          </w:p>
        </w:tc>
        <w:tc>
          <w:tcPr>
            <w:tcW w:type="dxa" w:w="4200"/>
            <w:tcMar>
              <w:top w:w="80" w:type="dxa"/>
              <w:start w:w="120" w:type="dxa"/>
              <w:bottom w:w="80" w:type="dxa"/>
              <w:end w:w="120" w:type="dxa"/>
            </w:tcMar>
            <w:vAlign w:val="center"/>
            <w:shd w:fill="941126"/>
          </w:tcPr>
          <w:p>
            <w:pPr>
              <w:spacing w:before="0" w:after="0" w:line="252" w:lineRule="auto"/>
              <w:jc w:val="center"/>
            </w:pPr>
            <w:r/>
            <w:r>
              <w:rPr>
                <w:rFonts w:ascii="Calibri" w:hAnsi="Calibri"/>
                <w:b/>
                <w:color w:val="FFFFFF"/>
                <w:sz w:val="17"/>
              </w:rPr>
              <w:t>IMPLICATION FOR VANS</w:t>
            </w:r>
          </w:p>
        </w:tc>
      </w:tr>
      <w:tr>
        <w:trPr>
          <w:trHeight w:hRule="atLeast"/>
        </w:trPr>
        <w:tc>
          <w:tcPr>
            <w:tcW w:type="dxa" w:w="1800"/>
            <w:tcMar>
              <w:top w:w="80" w:type="dxa"/>
              <w:start w:w="120" w:type="dxa"/>
              <w:bottom w:w="80" w:type="dxa"/>
              <w:end w:w="120" w:type="dxa"/>
            </w:tcMar>
            <w:vAlign w:val="center"/>
          </w:tcPr>
          <w:p>
            <w:pPr>
              <w:spacing w:before="0" w:after="0" w:line="252" w:lineRule="auto"/>
              <w:jc w:val="left"/>
            </w:pPr>
            <w:r/>
            <w:r>
              <w:rPr>
                <w:rFonts w:ascii="Calibri" w:hAnsi="Calibri"/>
                <w:b w:val="0"/>
                <w:color w:val="202124"/>
                <w:sz w:val="17"/>
              </w:rPr>
              <w:t>Nike / Converse</w:t>
            </w:r>
          </w:p>
        </w:tc>
        <w:tc>
          <w:tcPr>
            <w:tcW w:type="dxa" w:w="3360"/>
            <w:tcMar>
              <w:top w:w="80" w:type="dxa"/>
              <w:start w:w="120" w:type="dxa"/>
              <w:bottom w:w="80" w:type="dxa"/>
              <w:end w:w="120" w:type="dxa"/>
            </w:tcMar>
            <w:vAlign w:val="center"/>
          </w:tcPr>
          <w:p>
            <w:pPr>
              <w:spacing w:before="0" w:after="0" w:line="252" w:lineRule="auto"/>
              <w:jc w:val="left"/>
            </w:pPr>
            <w:r/>
            <w:r>
              <w:rPr>
                <w:rFonts w:ascii="Calibri" w:hAnsi="Calibri"/>
                <w:b w:val="0"/>
                <w:color w:val="202124"/>
                <w:sz w:val="17"/>
              </w:rPr>
              <w:t>Scale, broad sports reach, and direct silhouette overlap through Converse.</w:t>
            </w:r>
          </w:p>
        </w:tc>
        <w:tc>
          <w:tcPr>
            <w:tcW w:type="dxa" w:w="4200"/>
            <w:tcMar>
              <w:top w:w="80" w:type="dxa"/>
              <w:start w:w="120" w:type="dxa"/>
              <w:bottom w:w="80" w:type="dxa"/>
              <w:end w:w="120" w:type="dxa"/>
            </w:tcMar>
            <w:vAlign w:val="center"/>
          </w:tcPr>
          <w:p>
            <w:pPr>
              <w:spacing w:before="0" w:after="0" w:line="252" w:lineRule="auto"/>
              <w:jc w:val="left"/>
            </w:pPr>
            <w:r/>
            <w:r>
              <w:rPr>
                <w:rFonts w:ascii="Calibri" w:hAnsi="Calibri"/>
                <w:b w:val="0"/>
                <w:color w:val="202124"/>
                <w:sz w:val="17"/>
              </w:rPr>
              <w:t>Avoid a broad head-to-head fight; win in narrowly defined communities.</w:t>
            </w:r>
          </w:p>
        </w:tc>
      </w:tr>
      <w:tr>
        <w:trPr>
          <w:trHeight w:hRule="atLeast"/>
        </w:trPr>
        <w:tc>
          <w:tcPr>
            <w:tcW w:type="dxa" w:w="1800"/>
            <w:tcMar>
              <w:top w:w="80" w:type="dxa"/>
              <w:start w:w="120" w:type="dxa"/>
              <w:bottom w:w="80" w:type="dxa"/>
              <w:end w:w="120" w:type="dxa"/>
            </w:tcMar>
            <w:vAlign w:val="center"/>
            <w:shd w:fill="F3F4F6"/>
          </w:tcPr>
          <w:p>
            <w:pPr>
              <w:spacing w:before="0" w:after="0" w:line="252" w:lineRule="auto"/>
              <w:jc w:val="left"/>
            </w:pPr>
            <w:r/>
            <w:r>
              <w:rPr>
                <w:rFonts w:ascii="Calibri" w:hAnsi="Calibri"/>
                <w:b w:val="0"/>
                <w:color w:val="202124"/>
                <w:sz w:val="17"/>
              </w:rPr>
              <w:t>Adidas</w:t>
            </w:r>
          </w:p>
        </w:tc>
        <w:tc>
          <w:tcPr>
            <w:tcW w:type="dxa" w:w="3360"/>
            <w:tcMar>
              <w:top w:w="80" w:type="dxa"/>
              <w:start w:w="120" w:type="dxa"/>
              <w:bottom w:w="80" w:type="dxa"/>
              <w:end w:w="120" w:type="dxa"/>
            </w:tcMar>
            <w:vAlign w:val="center"/>
            <w:shd w:fill="F3F4F6"/>
          </w:tcPr>
          <w:p>
            <w:pPr>
              <w:spacing w:before="0" w:after="0" w:line="252" w:lineRule="auto"/>
              <w:jc w:val="left"/>
            </w:pPr>
            <w:r/>
            <w:r>
              <w:rPr>
                <w:rFonts w:ascii="Calibri" w:hAnsi="Calibri"/>
                <w:b w:val="0"/>
                <w:color w:val="202124"/>
                <w:sz w:val="17"/>
              </w:rPr>
              <w:t>Athletic credibility plus streetwear crossover and Samba heritage.</w:t>
            </w:r>
          </w:p>
        </w:tc>
        <w:tc>
          <w:tcPr>
            <w:tcW w:type="dxa" w:w="4200"/>
            <w:tcMar>
              <w:top w:w="80" w:type="dxa"/>
              <w:start w:w="120" w:type="dxa"/>
              <w:bottom w:w="80" w:type="dxa"/>
              <w:end w:w="120" w:type="dxa"/>
            </w:tcMar>
            <w:vAlign w:val="center"/>
            <w:shd w:fill="F3F4F6"/>
          </w:tcPr>
          <w:p>
            <w:pPr>
              <w:spacing w:before="0" w:after="0" w:line="252" w:lineRule="auto"/>
              <w:jc w:val="left"/>
            </w:pPr>
            <w:r/>
            <w:r>
              <w:rPr>
                <w:rFonts w:ascii="Calibri" w:hAnsi="Calibri"/>
                <w:b w:val="0"/>
                <w:color w:val="202124"/>
                <w:sz w:val="17"/>
              </w:rPr>
              <w:t>Indoor soccer is validated but competitively demanding; differentiation must come from culture and community.</w:t>
            </w:r>
          </w:p>
        </w:tc>
      </w:tr>
      <w:tr>
        <w:trPr>
          <w:trHeight w:hRule="atLeast"/>
        </w:trPr>
        <w:tc>
          <w:tcPr>
            <w:tcW w:type="dxa" w:w="1800"/>
            <w:tcMar>
              <w:top w:w="80" w:type="dxa"/>
              <w:start w:w="120" w:type="dxa"/>
              <w:bottom w:w="80" w:type="dxa"/>
              <w:end w:w="120" w:type="dxa"/>
            </w:tcMar>
            <w:vAlign w:val="center"/>
          </w:tcPr>
          <w:p>
            <w:pPr>
              <w:spacing w:before="0" w:after="0" w:line="252" w:lineRule="auto"/>
              <w:jc w:val="left"/>
            </w:pPr>
            <w:r/>
            <w:r>
              <w:rPr>
                <w:rFonts w:ascii="Calibri" w:hAnsi="Calibri"/>
                <w:b w:val="0"/>
                <w:color w:val="202124"/>
                <w:sz w:val="17"/>
              </w:rPr>
              <w:t>Puma / New Balance</w:t>
            </w:r>
          </w:p>
        </w:tc>
        <w:tc>
          <w:tcPr>
            <w:tcW w:type="dxa" w:w="3360"/>
            <w:tcMar>
              <w:top w:w="80" w:type="dxa"/>
              <w:start w:w="120" w:type="dxa"/>
              <w:bottom w:w="80" w:type="dxa"/>
              <w:end w:w="120" w:type="dxa"/>
            </w:tcMar>
            <w:vAlign w:val="center"/>
          </w:tcPr>
          <w:p>
            <w:pPr>
              <w:spacing w:before="0" w:after="0" w:line="252" w:lineRule="auto"/>
              <w:jc w:val="left"/>
            </w:pPr>
            <w:r/>
            <w:r>
              <w:rPr>
                <w:rFonts w:ascii="Calibri" w:hAnsi="Calibri"/>
                <w:b w:val="0"/>
                <w:color w:val="202124"/>
                <w:sz w:val="17"/>
              </w:rPr>
              <w:t>Broader athletic and lifestyle portfolios with substantial channel presence.</w:t>
            </w:r>
          </w:p>
        </w:tc>
        <w:tc>
          <w:tcPr>
            <w:tcW w:type="dxa" w:w="4200"/>
            <w:tcMar>
              <w:top w:w="80" w:type="dxa"/>
              <w:start w:w="120" w:type="dxa"/>
              <w:bottom w:w="80" w:type="dxa"/>
              <w:end w:w="120" w:type="dxa"/>
            </w:tcMar>
            <w:vAlign w:val="center"/>
          </w:tcPr>
          <w:p>
            <w:pPr>
              <w:spacing w:before="0" w:after="0" w:line="252" w:lineRule="auto"/>
              <w:jc w:val="left"/>
            </w:pPr>
            <w:r/>
            <w:r>
              <w:rPr>
                <w:rFonts w:ascii="Calibri" w:hAnsi="Calibri"/>
                <w:b w:val="0"/>
                <w:color w:val="202124"/>
                <w:sz w:val="17"/>
              </w:rPr>
              <w:t>Protect Vans’ distinctiveness rather than copying general lifestyle positioning.</w:t>
            </w:r>
          </w:p>
        </w:tc>
      </w:tr>
    </w:tbl>
    <w:p>
      <w:r>
        <w:br w:type="page"/>
      </w:r>
    </w:p>
    <w:p>
      <w:pPr>
        <w:pStyle w:val="Heading1"/>
        <w:spacing w:before="40"/>
        <w:pBdr>
          <w:bottom w:val="single" w:sz="6" w:space="3" w:color="E2E5E9"/>
        </w:pBdr>
      </w:pPr>
      <w:r>
        <w:rPr>
          <w:rFonts w:ascii="Calibri" w:hAnsi="Calibri"/>
          <w:b/>
          <w:color w:val="941126"/>
          <w:sz w:val="32"/>
        </w:rPr>
        <w:t>02  Customer segments and positioning</w:t>
      </w:r>
    </w:p>
    <w:p>
      <w:pPr>
        <w:spacing w:after="180"/>
      </w:pPr>
      <w:r>
        <w:rPr>
          <w:rFonts w:ascii="Calibri" w:hAnsi="Calibri"/>
          <w:i/>
          <w:color w:val="5F6368"/>
          <w:sz w:val="20"/>
        </w:rPr>
        <w:t>Research-derived buyer profiles and a journey designed to protect brand authenticity.</w:t>
      </w:r>
    </w:p>
    <w:p>
      <w:pPr>
        <w:spacing w:after="160" w:line="269" w:lineRule="auto"/>
      </w:pPr>
      <w:r>
        <w:rPr>
          <w:rFonts w:ascii="Calibri" w:hAnsi="Calibri"/>
          <w:color w:val="202124"/>
          <w:sz w:val="21"/>
        </w:rPr>
        <w:t>The segmentation distinguished the customers who already gave Vans credibility from adjacent users who could support expansion. The strategic requirement was not simply demographic reach; it was a credible match between product function, identity, community, and price.</w:t>
      </w:r>
    </w:p>
    <w:tbl>
      <w:tblPr>
        <w:tblW w:type="dxa" w:w="9360"/>
        <w:tblLayout w:type="fixed"/>
        <w:tblLook w:firstColumn="1" w:firstRow="1" w:lastColumn="0" w:lastRow="0" w:noHBand="0" w:noVBand="1" w:val="04A0"/>
        <w:tblInd w:w="120" w:type="dxa"/>
        <w:tblBorders>
          <w:top w:val="single" w:sz="6" w:space="0" w:color="E2E5E9"/>
          <w:left w:val="single" w:sz="6" w:space="0" w:color="E2E5E9"/>
          <w:bottom w:val="single" w:sz="6" w:space="0" w:color="E2E5E9"/>
          <w:right w:val="single" w:sz="6" w:space="0" w:color="E2E5E9"/>
          <w:insideH w:val="single" w:sz="6" w:space="0" w:color="E2E5E9"/>
          <w:insideV w:val="single" w:sz="6" w:space="0" w:color="E2E5E9"/>
        </w:tblBorders>
      </w:tblPr>
      <w:tblGrid>
        <w:gridCol w:w="1820"/>
        <w:gridCol w:w="2200"/>
        <w:gridCol w:w="2420"/>
        <w:gridCol w:w="2920"/>
      </w:tblGrid>
      <w:tr>
        <w:trPr>
          <w:trHeight w:hRule="atLeast"/>
          <w:tblHeader w:val="true"/>
        </w:trPr>
        <w:tc>
          <w:tcPr>
            <w:tcW w:type="dxa" w:w="1820"/>
            <w:tcMar>
              <w:top w:w="80" w:type="dxa"/>
              <w:start w:w="120" w:type="dxa"/>
              <w:bottom w:w="80" w:type="dxa"/>
              <w:end w:w="120" w:type="dxa"/>
            </w:tcMar>
            <w:vAlign w:val="center"/>
            <w:shd w:fill="941126"/>
          </w:tcPr>
          <w:p>
            <w:pPr>
              <w:spacing w:before="0" w:after="0" w:line="252" w:lineRule="auto"/>
              <w:jc w:val="center"/>
            </w:pPr>
            <w:r/>
            <w:r>
              <w:rPr>
                <w:rFonts w:ascii="Calibri" w:hAnsi="Calibri"/>
                <w:b/>
                <w:color w:val="FFFFFF"/>
                <w:sz w:val="16"/>
              </w:rPr>
              <w:t>SEGMENT</w:t>
            </w:r>
          </w:p>
        </w:tc>
        <w:tc>
          <w:tcPr>
            <w:tcW w:type="dxa" w:w="2200"/>
            <w:tcMar>
              <w:top w:w="80" w:type="dxa"/>
              <w:start w:w="120" w:type="dxa"/>
              <w:bottom w:w="80" w:type="dxa"/>
              <w:end w:w="120" w:type="dxa"/>
            </w:tcMar>
            <w:vAlign w:val="center"/>
            <w:shd w:fill="941126"/>
          </w:tcPr>
          <w:p>
            <w:pPr>
              <w:spacing w:before="0" w:after="0" w:line="252" w:lineRule="auto"/>
              <w:jc w:val="center"/>
            </w:pPr>
            <w:r/>
            <w:r>
              <w:rPr>
                <w:rFonts w:ascii="Calibri" w:hAnsi="Calibri"/>
                <w:b/>
                <w:color w:val="FFFFFF"/>
                <w:sz w:val="16"/>
              </w:rPr>
              <w:t>NEED / MOTIVATION</w:t>
            </w:r>
          </w:p>
        </w:tc>
        <w:tc>
          <w:tcPr>
            <w:tcW w:type="dxa" w:w="2420"/>
            <w:tcMar>
              <w:top w:w="80" w:type="dxa"/>
              <w:start w:w="120" w:type="dxa"/>
              <w:bottom w:w="80" w:type="dxa"/>
              <w:end w:w="120" w:type="dxa"/>
            </w:tcMar>
            <w:vAlign w:val="center"/>
            <w:shd w:fill="941126"/>
          </w:tcPr>
          <w:p>
            <w:pPr>
              <w:spacing w:before="0" w:after="0" w:line="252" w:lineRule="auto"/>
              <w:jc w:val="center"/>
            </w:pPr>
            <w:r/>
            <w:r>
              <w:rPr>
                <w:rFonts w:ascii="Calibri" w:hAnsi="Calibri"/>
                <w:b/>
                <w:color w:val="FFFFFF"/>
                <w:sz w:val="16"/>
              </w:rPr>
              <w:t>WHY VANS CAN MATTER</w:t>
            </w:r>
          </w:p>
        </w:tc>
        <w:tc>
          <w:tcPr>
            <w:tcW w:type="dxa" w:w="2920"/>
            <w:tcMar>
              <w:top w:w="80" w:type="dxa"/>
              <w:start w:w="120" w:type="dxa"/>
              <w:bottom w:w="80" w:type="dxa"/>
              <w:end w:w="120" w:type="dxa"/>
            </w:tcMar>
            <w:vAlign w:val="center"/>
            <w:shd w:fill="941126"/>
          </w:tcPr>
          <w:p>
            <w:pPr>
              <w:spacing w:before="0" w:after="0" w:line="252" w:lineRule="auto"/>
              <w:jc w:val="center"/>
            </w:pPr>
            <w:r/>
            <w:r>
              <w:rPr>
                <w:rFonts w:ascii="Calibri" w:hAnsi="Calibri"/>
                <w:b/>
                <w:color w:val="FFFFFF"/>
                <w:sz w:val="16"/>
              </w:rPr>
              <w:t>BEST REACH AND MESSAGE</w:t>
            </w:r>
          </w:p>
        </w:tc>
      </w:tr>
      <w:tr>
        <w:trPr>
          <w:trHeight w:hRule="atLeast"/>
        </w:trPr>
        <w:tc>
          <w:tcPr>
            <w:tcW w:type="dxa" w:w="1820"/>
            <w:tcMar>
              <w:top w:w="80" w:type="dxa"/>
              <w:start w:w="120" w:type="dxa"/>
              <w:bottom w:w="80" w:type="dxa"/>
              <w:end w:w="120" w:type="dxa"/>
            </w:tcMar>
            <w:vAlign w:val="center"/>
          </w:tcPr>
          <w:p>
            <w:pPr>
              <w:spacing w:before="0" w:after="0" w:line="252" w:lineRule="auto"/>
              <w:jc w:val="left"/>
            </w:pPr>
            <w:r/>
            <w:r>
              <w:rPr>
                <w:rFonts w:ascii="Calibri" w:hAnsi="Calibri"/>
                <w:b w:val="0"/>
                <w:color w:val="202124"/>
                <w:sz w:val="16"/>
              </w:rPr>
              <w:t>Core action-sports youth</w:t>
            </w:r>
          </w:p>
        </w:tc>
        <w:tc>
          <w:tcPr>
            <w:tcW w:type="dxa" w:w="2200"/>
            <w:tcMar>
              <w:top w:w="80" w:type="dxa"/>
              <w:start w:w="120" w:type="dxa"/>
              <w:bottom w:w="80" w:type="dxa"/>
              <w:end w:w="120" w:type="dxa"/>
            </w:tcMar>
            <w:vAlign w:val="center"/>
          </w:tcPr>
          <w:p>
            <w:pPr>
              <w:spacing w:before="0" w:after="0" w:line="252" w:lineRule="auto"/>
              <w:jc w:val="left"/>
            </w:pPr>
            <w:r/>
            <w:r>
              <w:rPr>
                <w:rFonts w:ascii="Calibri" w:hAnsi="Calibri"/>
                <w:b w:val="0"/>
                <w:color w:val="202124"/>
                <w:sz w:val="16"/>
              </w:rPr>
              <w:t>Durability, grip, identity, and recognition inside skate, BMX, and surf communities.</w:t>
            </w:r>
          </w:p>
        </w:tc>
        <w:tc>
          <w:tcPr>
            <w:tcW w:type="dxa" w:w="2420"/>
            <w:tcMar>
              <w:top w:w="80" w:type="dxa"/>
              <w:start w:w="120" w:type="dxa"/>
              <w:bottom w:w="80" w:type="dxa"/>
              <w:end w:w="120" w:type="dxa"/>
            </w:tcMar>
            <w:vAlign w:val="center"/>
          </w:tcPr>
          <w:p>
            <w:pPr>
              <w:spacing w:before="0" w:after="0" w:line="252" w:lineRule="auto"/>
              <w:jc w:val="left"/>
            </w:pPr>
            <w:r/>
            <w:r>
              <w:rPr>
                <w:rFonts w:ascii="Calibri" w:hAnsi="Calibri"/>
                <w:b w:val="0"/>
                <w:color w:val="202124"/>
                <w:sz w:val="16"/>
              </w:rPr>
              <w:t>Vans has history and earned credibility in these communities.</w:t>
            </w:r>
          </w:p>
        </w:tc>
        <w:tc>
          <w:tcPr>
            <w:tcW w:type="dxa" w:w="2920"/>
            <w:tcMar>
              <w:top w:w="80" w:type="dxa"/>
              <w:start w:w="120" w:type="dxa"/>
              <w:bottom w:w="80" w:type="dxa"/>
              <w:end w:w="120" w:type="dxa"/>
            </w:tcMar>
            <w:vAlign w:val="center"/>
          </w:tcPr>
          <w:p>
            <w:pPr>
              <w:spacing w:before="0" w:after="0" w:line="252" w:lineRule="auto"/>
              <w:jc w:val="left"/>
            </w:pPr>
            <w:r/>
            <w:r>
              <w:rPr>
                <w:rFonts w:ascii="Calibri" w:hAnsi="Calibri"/>
                <w:b w:val="0"/>
                <w:color w:val="202124"/>
                <w:sz w:val="16"/>
              </w:rPr>
              <w:t>Athletes, events, skateparks, local communities, and product authenticity.</w:t>
            </w:r>
          </w:p>
        </w:tc>
      </w:tr>
      <w:tr>
        <w:trPr>
          <w:trHeight w:hRule="atLeast"/>
        </w:trPr>
        <w:tc>
          <w:tcPr>
            <w:tcW w:type="dxa" w:w="1820"/>
            <w:tcMar>
              <w:top w:w="80" w:type="dxa"/>
              <w:start w:w="120" w:type="dxa"/>
              <w:bottom w:w="80" w:type="dxa"/>
              <w:end w:w="120" w:type="dxa"/>
            </w:tcMar>
            <w:vAlign w:val="center"/>
            <w:shd w:fill="F3F4F6"/>
          </w:tcPr>
          <w:p>
            <w:pPr>
              <w:spacing w:before="0" w:after="0" w:line="252" w:lineRule="auto"/>
              <w:jc w:val="left"/>
            </w:pPr>
            <w:r/>
            <w:r>
              <w:rPr>
                <w:rFonts w:ascii="Calibri" w:hAnsi="Calibri"/>
                <w:b w:val="0"/>
                <w:color w:val="202124"/>
                <w:sz w:val="16"/>
              </w:rPr>
              <w:t>Style-driven students</w:t>
            </w:r>
          </w:p>
        </w:tc>
        <w:tc>
          <w:tcPr>
            <w:tcW w:type="dxa" w:w="2200"/>
            <w:tcMar>
              <w:top w:w="80" w:type="dxa"/>
              <w:start w:w="120" w:type="dxa"/>
              <w:bottom w:w="80" w:type="dxa"/>
              <w:end w:w="120" w:type="dxa"/>
            </w:tcMar>
            <w:vAlign w:val="center"/>
            <w:shd w:fill="F3F4F6"/>
          </w:tcPr>
          <w:p>
            <w:pPr>
              <w:spacing w:before="0" w:after="0" w:line="252" w:lineRule="auto"/>
              <w:jc w:val="left"/>
            </w:pPr>
            <w:r/>
            <w:r>
              <w:rPr>
                <w:rFonts w:ascii="Calibri" w:hAnsi="Calibri"/>
                <w:b w:val="0"/>
                <w:color w:val="202124"/>
                <w:sz w:val="16"/>
              </w:rPr>
              <w:t>Affordable casual style, social relevance, newness, and collaboration culture.</w:t>
            </w:r>
          </w:p>
        </w:tc>
        <w:tc>
          <w:tcPr>
            <w:tcW w:type="dxa" w:w="2420"/>
            <w:tcMar>
              <w:top w:w="80" w:type="dxa"/>
              <w:start w:w="120" w:type="dxa"/>
              <w:bottom w:w="80" w:type="dxa"/>
              <w:end w:w="120" w:type="dxa"/>
            </w:tcMar>
            <w:vAlign w:val="center"/>
            <w:shd w:fill="F3F4F6"/>
          </w:tcPr>
          <w:p>
            <w:pPr>
              <w:spacing w:before="0" w:after="0" w:line="252" w:lineRule="auto"/>
              <w:jc w:val="left"/>
            </w:pPr>
            <w:r/>
            <w:r>
              <w:rPr>
                <w:rFonts w:ascii="Calibri" w:hAnsi="Calibri"/>
                <w:b w:val="0"/>
                <w:color w:val="202124"/>
                <w:sz w:val="16"/>
              </w:rPr>
              <w:t>A recognizable silhouette, accessible pricing, and frequent creative collaborations.</w:t>
            </w:r>
          </w:p>
        </w:tc>
        <w:tc>
          <w:tcPr>
            <w:tcW w:type="dxa" w:w="2920"/>
            <w:tcMar>
              <w:top w:w="80" w:type="dxa"/>
              <w:start w:w="120" w:type="dxa"/>
              <w:bottom w:w="80" w:type="dxa"/>
              <w:end w:w="120" w:type="dxa"/>
            </w:tcMar>
            <w:vAlign w:val="center"/>
            <w:shd w:fill="F3F4F6"/>
          </w:tcPr>
          <w:p>
            <w:pPr>
              <w:spacing w:before="0" w:after="0" w:line="252" w:lineRule="auto"/>
              <w:jc w:val="left"/>
            </w:pPr>
            <w:r/>
            <w:r>
              <w:rPr>
                <w:rFonts w:ascii="Calibri" w:hAnsi="Calibri"/>
                <w:b w:val="0"/>
                <w:color w:val="202124"/>
                <w:sz w:val="16"/>
              </w:rPr>
              <w:t>Social content, limited drops, campus/retail visibility, and creator partnerships.</w:t>
            </w:r>
          </w:p>
        </w:tc>
      </w:tr>
      <w:tr>
        <w:trPr>
          <w:trHeight w:hRule="atLeast"/>
        </w:trPr>
        <w:tc>
          <w:tcPr>
            <w:tcW w:type="dxa" w:w="1820"/>
            <w:tcMar>
              <w:top w:w="80" w:type="dxa"/>
              <w:start w:w="120" w:type="dxa"/>
              <w:bottom w:w="80" w:type="dxa"/>
              <w:end w:w="120" w:type="dxa"/>
            </w:tcMar>
            <w:vAlign w:val="center"/>
          </w:tcPr>
          <w:p>
            <w:pPr>
              <w:spacing w:before="0" w:after="0" w:line="252" w:lineRule="auto"/>
              <w:jc w:val="left"/>
            </w:pPr>
            <w:r/>
            <w:r>
              <w:rPr>
                <w:rFonts w:ascii="Calibri" w:hAnsi="Calibri"/>
                <w:b w:val="0"/>
                <w:color w:val="202124"/>
                <w:sz w:val="16"/>
              </w:rPr>
              <w:t>Multigenerational loyalists</w:t>
            </w:r>
          </w:p>
        </w:tc>
        <w:tc>
          <w:tcPr>
            <w:tcW w:type="dxa" w:w="2200"/>
            <w:tcMar>
              <w:top w:w="80" w:type="dxa"/>
              <w:start w:w="120" w:type="dxa"/>
              <w:bottom w:w="80" w:type="dxa"/>
              <w:end w:w="120" w:type="dxa"/>
            </w:tcMar>
            <w:vAlign w:val="center"/>
          </w:tcPr>
          <w:p>
            <w:pPr>
              <w:spacing w:before="0" w:after="0" w:line="252" w:lineRule="auto"/>
              <w:jc w:val="left"/>
            </w:pPr>
            <w:r/>
            <w:r>
              <w:rPr>
                <w:rFonts w:ascii="Calibri" w:hAnsi="Calibri"/>
                <w:b w:val="0"/>
                <w:color w:val="202124"/>
                <w:sz w:val="16"/>
              </w:rPr>
              <w:t>Comfort, consistency, nostalgia, and a brand that still feels culturally meaningful.</w:t>
            </w:r>
          </w:p>
        </w:tc>
        <w:tc>
          <w:tcPr>
            <w:tcW w:type="dxa" w:w="2420"/>
            <w:tcMar>
              <w:top w:w="80" w:type="dxa"/>
              <w:start w:w="120" w:type="dxa"/>
              <w:bottom w:w="80" w:type="dxa"/>
              <w:end w:w="120" w:type="dxa"/>
            </w:tcMar>
            <w:vAlign w:val="center"/>
          </w:tcPr>
          <w:p>
            <w:pPr>
              <w:spacing w:before="0" w:after="0" w:line="252" w:lineRule="auto"/>
              <w:jc w:val="left"/>
            </w:pPr>
            <w:r/>
            <w:r>
              <w:rPr>
                <w:rFonts w:ascii="Calibri" w:hAnsi="Calibri"/>
                <w:b w:val="0"/>
                <w:color w:val="202124"/>
                <w:sz w:val="16"/>
              </w:rPr>
              <w:t>Long-term loyalty helps validate Vans across generations.</w:t>
            </w:r>
          </w:p>
        </w:tc>
        <w:tc>
          <w:tcPr>
            <w:tcW w:type="dxa" w:w="2920"/>
            <w:tcMar>
              <w:top w:w="80" w:type="dxa"/>
              <w:start w:w="120" w:type="dxa"/>
              <w:bottom w:w="80" w:type="dxa"/>
              <w:end w:w="120" w:type="dxa"/>
            </w:tcMar>
            <w:vAlign w:val="center"/>
          </w:tcPr>
          <w:p>
            <w:pPr>
              <w:spacing w:before="0" w:after="0" w:line="252" w:lineRule="auto"/>
              <w:jc w:val="left"/>
            </w:pPr>
            <w:r/>
            <w:r>
              <w:rPr>
                <w:rFonts w:ascii="Calibri" w:hAnsi="Calibri"/>
                <w:b w:val="0"/>
                <w:color w:val="202124"/>
                <w:sz w:val="16"/>
              </w:rPr>
              <w:t>Heritage storytelling, dependable core products, and family/lifestyle narratives.</w:t>
            </w:r>
          </w:p>
        </w:tc>
      </w:tr>
      <w:tr>
        <w:trPr>
          <w:trHeight w:hRule="atLeast"/>
        </w:trPr>
        <w:tc>
          <w:tcPr>
            <w:tcW w:type="dxa" w:w="1820"/>
            <w:tcMar>
              <w:top w:w="80" w:type="dxa"/>
              <w:start w:w="120" w:type="dxa"/>
              <w:bottom w:w="80" w:type="dxa"/>
              <w:end w:w="120" w:type="dxa"/>
            </w:tcMar>
            <w:vAlign w:val="center"/>
            <w:shd w:fill="F3F4F6"/>
          </w:tcPr>
          <w:p>
            <w:pPr>
              <w:spacing w:before="0" w:after="0" w:line="252" w:lineRule="auto"/>
              <w:jc w:val="left"/>
            </w:pPr>
            <w:r/>
            <w:r>
              <w:rPr>
                <w:rFonts w:ascii="Calibri" w:hAnsi="Calibri"/>
                <w:b w:val="0"/>
                <w:color w:val="202124"/>
                <w:sz w:val="16"/>
              </w:rPr>
              <w:t>Adjacent functional users</w:t>
            </w:r>
          </w:p>
        </w:tc>
        <w:tc>
          <w:tcPr>
            <w:tcW w:type="dxa" w:w="2200"/>
            <w:tcMar>
              <w:top w:w="80" w:type="dxa"/>
              <w:start w:w="120" w:type="dxa"/>
              <w:bottom w:w="80" w:type="dxa"/>
              <w:end w:w="120" w:type="dxa"/>
            </w:tcMar>
            <w:vAlign w:val="center"/>
            <w:shd w:fill="F3F4F6"/>
          </w:tcPr>
          <w:p>
            <w:pPr>
              <w:spacing w:before="0" w:after="0" w:line="252" w:lineRule="auto"/>
              <w:jc w:val="left"/>
            </w:pPr>
            <w:r/>
            <w:r>
              <w:rPr>
                <w:rFonts w:ascii="Calibri" w:hAnsi="Calibri"/>
                <w:b w:val="0"/>
                <w:color w:val="202124"/>
                <w:sz w:val="16"/>
              </w:rPr>
              <w:t>A specific use case-lifting, indoor soccer, climbing, or hiking-plus cultural fit.</w:t>
            </w:r>
          </w:p>
        </w:tc>
        <w:tc>
          <w:tcPr>
            <w:tcW w:type="dxa" w:w="2420"/>
            <w:tcMar>
              <w:top w:w="80" w:type="dxa"/>
              <w:start w:w="120" w:type="dxa"/>
              <w:bottom w:w="80" w:type="dxa"/>
              <w:end w:w="120" w:type="dxa"/>
            </w:tcMar>
            <w:vAlign w:val="center"/>
            <w:shd w:fill="F3F4F6"/>
          </w:tcPr>
          <w:p>
            <w:pPr>
              <w:spacing w:before="0" w:after="0" w:line="252" w:lineRule="auto"/>
              <w:jc w:val="left"/>
            </w:pPr>
            <w:r/>
            <w:r>
              <w:rPr>
                <w:rFonts w:ascii="Calibri" w:hAnsi="Calibri"/>
                <w:b w:val="0"/>
                <w:color w:val="202124"/>
                <w:sz w:val="16"/>
              </w:rPr>
              <w:t>Some existing Vans features and communities overlap with these activities.</w:t>
            </w:r>
          </w:p>
        </w:tc>
        <w:tc>
          <w:tcPr>
            <w:tcW w:type="dxa" w:w="2920"/>
            <w:tcMar>
              <w:top w:w="80" w:type="dxa"/>
              <w:start w:w="120" w:type="dxa"/>
              <w:bottom w:w="80" w:type="dxa"/>
              <w:end w:w="120" w:type="dxa"/>
            </w:tcMar>
            <w:vAlign w:val="center"/>
            <w:shd w:fill="F3F4F6"/>
          </w:tcPr>
          <w:p>
            <w:pPr>
              <w:spacing w:before="0" w:after="0" w:line="252" w:lineRule="auto"/>
              <w:jc w:val="left"/>
            </w:pPr>
            <w:r/>
            <w:r>
              <w:rPr>
                <w:rFonts w:ascii="Calibri" w:hAnsi="Calibri"/>
                <w:b w:val="0"/>
                <w:color w:val="202124"/>
                <w:sz w:val="16"/>
              </w:rPr>
              <w:t>Start with use-case education and community pilots before broad product expansion.</w:t>
            </w:r>
          </w:p>
        </w:tc>
      </w:tr>
    </w:tbl>
    <w:p>
      <w:pPr>
        <w:pStyle w:val="Heading2"/>
      </w:pPr>
      <w:r>
        <w:t>Positioning recommendation</w:t>
      </w:r>
    </w:p>
    <w:p>
      <w:pPr>
        <w:spacing w:before="80" w:after="180" w:line="259" w:lineRule="auto"/>
        <w:ind w:left="173" w:right="144"/>
        <w:shd w:fill="FBECEF"/>
        <w:pBdr>
          <w:left w:val="single" w:sz="24" w:space="5" w:color="C41230"/>
        </w:pBdr>
      </w:pPr>
      <w:r>
        <w:rPr>
          <w:rFonts w:ascii="Calibri" w:hAnsi="Calibri"/>
          <w:b/>
          <w:color w:val="941126"/>
          <w:sz w:val="21"/>
        </w:rPr>
        <w:t xml:space="preserve">Value proposition: </w:t>
      </w:r>
      <w:r>
        <w:rPr>
          <w:rFonts w:ascii="Calibri" w:hAnsi="Calibri"/>
          <w:color w:val="202124"/>
          <w:sz w:val="21"/>
        </w:rPr>
        <w:t>Accessible, durable footwear and apparel that combine practical utility with authentic roots in California action-sports culture and creative self-expression.</w:t>
      </w:r>
    </w:p>
    <w:p>
      <w:pPr>
        <w:pStyle w:val="Heading3"/>
      </w:pPr>
      <w:r>
        <w:t>Expansion guardrails</w:t>
      </w:r>
    </w:p>
    <w:p>
      <w:pPr>
        <w:numPr>
          <w:ilvl w:val="0"/>
          <w:numId w:val="10"/>
        </w:numPr>
        <w:spacing w:before="0" w:after="60" w:line="264" w:lineRule="auto"/>
      </w:pPr>
      <w:r>
        <w:rPr>
          <w:rFonts w:ascii="Calibri" w:hAnsi="Calibri"/>
          <w:color w:val="202124"/>
          <w:sz w:val="20"/>
        </w:rPr>
        <w:t>Adjacency before breadth: choose markets that share Vans’ community, design, or functional logic.</w:t>
      </w:r>
    </w:p>
    <w:p>
      <w:pPr>
        <w:numPr>
          <w:ilvl w:val="0"/>
          <w:numId w:val="10"/>
        </w:numPr>
        <w:spacing w:before="0" w:after="60" w:line="264" w:lineRule="auto"/>
      </w:pPr>
      <w:r>
        <w:rPr>
          <w:rFonts w:ascii="Calibri" w:hAnsi="Calibri"/>
          <w:color w:val="202124"/>
          <w:sz w:val="20"/>
        </w:rPr>
        <w:t>Earned credibility before scale: participate in a community before selling aggressively to it.</w:t>
      </w:r>
    </w:p>
    <w:p>
      <w:pPr>
        <w:numPr>
          <w:ilvl w:val="0"/>
          <w:numId w:val="10"/>
        </w:numPr>
        <w:spacing w:before="0" w:after="60" w:line="264" w:lineRule="auto"/>
      </w:pPr>
      <w:r>
        <w:rPr>
          <w:rFonts w:ascii="Calibri" w:hAnsi="Calibri"/>
          <w:color w:val="202124"/>
          <w:sz w:val="20"/>
        </w:rPr>
        <w:t>Functional truth before messaging: do not rely on heritage if the product cannot perform the use case.</w:t>
      </w:r>
    </w:p>
    <w:p>
      <w:pPr>
        <w:numPr>
          <w:ilvl w:val="0"/>
          <w:numId w:val="10"/>
        </w:numPr>
        <w:spacing w:before="0" w:after="60" w:line="264" w:lineRule="auto"/>
      </w:pPr>
      <w:r>
        <w:rPr>
          <w:rFonts w:ascii="Calibri" w:hAnsi="Calibri"/>
          <w:color w:val="202124"/>
          <w:sz w:val="20"/>
        </w:rPr>
        <w:t>Price discipline: preserve an accessible core while using scarce collaborations selectively for premium pricing.</w:t>
      </w:r>
    </w:p>
    <w:p>
      <w:pPr>
        <w:numPr>
          <w:ilvl w:val="0"/>
          <w:numId w:val="10"/>
        </w:numPr>
        <w:spacing w:before="0" w:after="60" w:line="264" w:lineRule="auto"/>
      </w:pPr>
      <w:r>
        <w:rPr>
          <w:rFonts w:ascii="Calibri" w:hAnsi="Calibri"/>
          <w:color w:val="202124"/>
          <w:sz w:val="20"/>
        </w:rPr>
        <w:t>Stage investment: use campaigns, limited releases, and community feedback to learn before committing major capital.</w:t>
      </w:r>
    </w:p>
    <w:p>
      <w:pPr>
        <w:pStyle w:val="Heading2"/>
      </w:pPr>
      <w:r>
        <w:t>Customer journey for an adjacent-market launch</w:t>
      </w:r>
    </w:p>
    <w:tbl>
      <w:tblPr>
        <w:tblW w:type="dxa" w:w="9360"/>
        <w:tblLayout w:type="fixed"/>
        <w:tblLook w:firstColumn="1" w:firstRow="1" w:lastColumn="0" w:lastRow="0" w:noHBand="0" w:noVBand="1" w:val="04A0"/>
        <w:tblInd w:w="120" w:type="dxa"/>
        <w:tblBorders>
          <w:top w:val="single" w:sz="6" w:space="0" w:color="E2E5E9"/>
          <w:left w:val="single" w:sz="6" w:space="0" w:color="E2E5E9"/>
          <w:bottom w:val="single" w:sz="6" w:space="0" w:color="E2E5E9"/>
          <w:right w:val="single" w:sz="6" w:space="0" w:color="E2E5E9"/>
          <w:insideH w:val="single" w:sz="6" w:space="0" w:color="E2E5E9"/>
          <w:insideV w:val="single" w:sz="6" w:space="0" w:color="E2E5E9"/>
        </w:tblBorders>
      </w:tblPr>
      <w:tblGrid>
        <w:gridCol w:w="2340"/>
        <w:gridCol w:w="2340"/>
        <w:gridCol w:w="2340"/>
        <w:gridCol w:w="2340"/>
      </w:tblGrid>
      <w:tr>
        <w:trPr>
          <w:trHeight w:hRule="atLeast"/>
          <w:tblHeader w:val="true"/>
        </w:trPr>
        <w:tc>
          <w:tcPr>
            <w:tcW w:type="dxa" w:w="2340"/>
            <w:tcMar>
              <w:top w:w="80" w:type="dxa"/>
              <w:start w:w="120" w:type="dxa"/>
              <w:bottom w:w="80" w:type="dxa"/>
              <w:end w:w="120" w:type="dxa"/>
            </w:tcMar>
            <w:vAlign w:val="center"/>
            <w:shd w:fill="941126"/>
          </w:tcPr>
          <w:p>
            <w:pPr>
              <w:spacing w:before="0" w:after="0" w:line="252" w:lineRule="auto"/>
              <w:jc w:val="center"/>
            </w:pPr>
            <w:r/>
            <w:r>
              <w:rPr>
                <w:rFonts w:ascii="Calibri" w:hAnsi="Calibri"/>
                <w:b/>
                <w:color w:val="FFFFFF"/>
                <w:sz w:val="16"/>
              </w:rPr>
              <w:t>1  DISCOVER</w:t>
            </w:r>
          </w:p>
        </w:tc>
        <w:tc>
          <w:tcPr>
            <w:tcW w:type="dxa" w:w="2340"/>
            <w:tcMar>
              <w:top w:w="80" w:type="dxa"/>
              <w:start w:w="120" w:type="dxa"/>
              <w:bottom w:w="80" w:type="dxa"/>
              <w:end w:w="120" w:type="dxa"/>
            </w:tcMar>
            <w:vAlign w:val="center"/>
            <w:shd w:fill="941126"/>
          </w:tcPr>
          <w:p>
            <w:pPr>
              <w:spacing w:before="0" w:after="0" w:line="252" w:lineRule="auto"/>
              <w:jc w:val="center"/>
            </w:pPr>
            <w:r/>
            <w:r>
              <w:rPr>
                <w:rFonts w:ascii="Calibri" w:hAnsi="Calibri"/>
                <w:b/>
                <w:color w:val="FFFFFF"/>
                <w:sz w:val="16"/>
              </w:rPr>
              <w:t>2  VALIDATE</w:t>
            </w:r>
          </w:p>
        </w:tc>
        <w:tc>
          <w:tcPr>
            <w:tcW w:type="dxa" w:w="2340"/>
            <w:tcMar>
              <w:top w:w="80" w:type="dxa"/>
              <w:start w:w="120" w:type="dxa"/>
              <w:bottom w:w="80" w:type="dxa"/>
              <w:end w:w="120" w:type="dxa"/>
            </w:tcMar>
            <w:vAlign w:val="center"/>
            <w:shd w:fill="941126"/>
          </w:tcPr>
          <w:p>
            <w:pPr>
              <w:spacing w:before="0" w:after="0" w:line="252" w:lineRule="auto"/>
              <w:jc w:val="center"/>
            </w:pPr>
            <w:r/>
            <w:r>
              <w:rPr>
                <w:rFonts w:ascii="Calibri" w:hAnsi="Calibri"/>
                <w:b/>
                <w:color w:val="FFFFFF"/>
                <w:sz w:val="16"/>
              </w:rPr>
              <w:t>3  TRY</w:t>
            </w:r>
          </w:p>
        </w:tc>
        <w:tc>
          <w:tcPr>
            <w:tcW w:type="dxa" w:w="2340"/>
            <w:tcMar>
              <w:top w:w="80" w:type="dxa"/>
              <w:start w:w="120" w:type="dxa"/>
              <w:bottom w:w="80" w:type="dxa"/>
              <w:end w:w="120" w:type="dxa"/>
            </w:tcMar>
            <w:vAlign w:val="center"/>
            <w:shd w:fill="941126"/>
          </w:tcPr>
          <w:p>
            <w:pPr>
              <w:spacing w:before="0" w:after="0" w:line="252" w:lineRule="auto"/>
              <w:jc w:val="center"/>
            </w:pPr>
            <w:r/>
            <w:r>
              <w:rPr>
                <w:rFonts w:ascii="Calibri" w:hAnsi="Calibri"/>
                <w:b/>
                <w:color w:val="FFFFFF"/>
                <w:sz w:val="16"/>
              </w:rPr>
              <w:t>4  ADOPT AND ADVOCATE</w:t>
            </w:r>
          </w:p>
        </w:tc>
      </w:tr>
      <w:tr>
        <w:trPr>
          <w:trHeight w:hRule="atLeast"/>
        </w:trPr>
        <w:tc>
          <w:tcPr>
            <w:tcW w:type="dxa" w:w="2340"/>
            <w:tcMar>
              <w:top w:w="80" w:type="dxa"/>
              <w:start w:w="120" w:type="dxa"/>
              <w:bottom w:w="80" w:type="dxa"/>
              <w:end w:w="120" w:type="dxa"/>
            </w:tcMar>
            <w:vAlign w:val="center"/>
          </w:tcPr>
          <w:p>
            <w:pPr>
              <w:spacing w:before="0" w:after="0" w:line="252" w:lineRule="auto"/>
              <w:jc w:val="left"/>
            </w:pPr>
            <w:r/>
            <w:r>
              <w:rPr>
                <w:rFonts w:ascii="Calibri" w:hAnsi="Calibri"/>
                <w:b w:val="0"/>
                <w:color w:val="202124"/>
                <w:sz w:val="16"/>
              </w:rPr>
              <w:t>Athletes, local events, collaborations, and social content create awareness inside the target community.</w:t>
            </w:r>
          </w:p>
        </w:tc>
        <w:tc>
          <w:tcPr>
            <w:tcW w:type="dxa" w:w="2340"/>
            <w:tcMar>
              <w:top w:w="80" w:type="dxa"/>
              <w:start w:w="120" w:type="dxa"/>
              <w:bottom w:w="80" w:type="dxa"/>
              <w:end w:w="120" w:type="dxa"/>
            </w:tcMar>
            <w:vAlign w:val="center"/>
          </w:tcPr>
          <w:p>
            <w:pPr>
              <w:spacing w:before="0" w:after="0" w:line="252" w:lineRule="auto"/>
              <w:jc w:val="left"/>
            </w:pPr>
            <w:r/>
            <w:r>
              <w:rPr>
                <w:rFonts w:ascii="Calibri" w:hAnsi="Calibri"/>
                <w:b w:val="0"/>
                <w:color w:val="202124"/>
                <w:sz w:val="16"/>
              </w:rPr>
              <w:t>Community endorsement, product education, and Vans’ history establish cultural and functional credibility.</w:t>
            </w:r>
          </w:p>
        </w:tc>
        <w:tc>
          <w:tcPr>
            <w:tcW w:type="dxa" w:w="2340"/>
            <w:tcMar>
              <w:top w:w="80" w:type="dxa"/>
              <w:start w:w="120" w:type="dxa"/>
              <w:bottom w:w="80" w:type="dxa"/>
              <w:end w:w="120" w:type="dxa"/>
            </w:tcMar>
            <w:vAlign w:val="center"/>
          </w:tcPr>
          <w:p>
            <w:pPr>
              <w:spacing w:before="0" w:after="0" w:line="252" w:lineRule="auto"/>
              <w:jc w:val="left"/>
            </w:pPr>
            <w:r/>
            <w:r>
              <w:rPr>
                <w:rFonts w:ascii="Calibri" w:hAnsi="Calibri"/>
                <w:b w:val="0"/>
                <w:color w:val="202124"/>
                <w:sz w:val="16"/>
              </w:rPr>
              <w:t>Limited releases, accessible entry pricing, and specialty/DTC availability reduce trial friction.</w:t>
            </w:r>
          </w:p>
        </w:tc>
        <w:tc>
          <w:tcPr>
            <w:tcW w:type="dxa" w:w="2340"/>
            <w:tcMar>
              <w:top w:w="80" w:type="dxa"/>
              <w:start w:w="120" w:type="dxa"/>
              <w:bottom w:w="80" w:type="dxa"/>
              <w:end w:w="120" w:type="dxa"/>
            </w:tcMar>
            <w:vAlign w:val="center"/>
          </w:tcPr>
          <w:p>
            <w:pPr>
              <w:spacing w:before="0" w:after="0" w:line="252" w:lineRule="auto"/>
              <w:jc w:val="left"/>
            </w:pPr>
            <w:r/>
            <w:r>
              <w:rPr>
                <w:rFonts w:ascii="Calibri" w:hAnsi="Calibri"/>
                <w:b w:val="0"/>
                <w:color w:val="202124"/>
                <w:sz w:val="16"/>
              </w:rPr>
              <w:t>Reliable product experience, repeat engagement, user content, and community investment turn buyers into advocates.</w:t>
            </w:r>
          </w:p>
        </w:tc>
      </w:tr>
    </w:tbl>
    <w:p>
      <w:r>
        <w:br w:type="page"/>
      </w:r>
    </w:p>
    <w:p>
      <w:pPr>
        <w:pStyle w:val="Heading1"/>
        <w:spacing w:before="40"/>
        <w:pBdr>
          <w:bottom w:val="single" w:sz="6" w:space="3" w:color="E2E5E9"/>
        </w:pBdr>
      </w:pPr>
      <w:r>
        <w:rPr>
          <w:rFonts w:ascii="Calibri" w:hAnsi="Calibri"/>
          <w:b/>
          <w:color w:val="941126"/>
          <w:sz w:val="32"/>
        </w:rPr>
        <w:t>03  Opportunity prioritization</w:t>
      </w:r>
    </w:p>
    <w:p>
      <w:pPr>
        <w:spacing w:after="180"/>
      </w:pPr>
      <w:r>
        <w:rPr>
          <w:rFonts w:ascii="Calibri" w:hAnsi="Calibri"/>
          <w:i/>
          <w:color w:val="5F6368"/>
          <w:sz w:val="20"/>
        </w:rPr>
        <w:t>A qualitative decision matrix converts broad ideas into a sequenced growth portfolio.</w:t>
      </w:r>
    </w:p>
    <w:p>
      <w:pPr>
        <w:spacing w:after="160" w:line="269" w:lineRule="auto"/>
      </w:pPr>
      <w:r>
        <w:rPr>
          <w:rFonts w:ascii="Calibri" w:hAnsi="Calibri"/>
          <w:color w:val="202124"/>
          <w:sz w:val="21"/>
        </w:rPr>
        <w:t>The original paper proposed four adjacent categories. This portfolio edition formalizes the underlying logic using five criteria: product fit, cultural adjacency, speed to test, competitive differentiation, and access to capabilities within VF Corporation.</w:t>
      </w:r>
    </w:p>
    <w:tbl>
      <w:tblPr>
        <w:tblW w:type="dxa" w:w="9360"/>
        <w:tblLayout w:type="fixed"/>
        <w:tblLook w:firstColumn="1" w:firstRow="1" w:lastColumn="0" w:lastRow="0" w:noHBand="0" w:noVBand="1" w:val="04A0"/>
        <w:tblInd w:w="120" w:type="dxa"/>
        <w:tblBorders>
          <w:top w:val="single" w:sz="6" w:space="0" w:color="E2E5E9"/>
          <w:left w:val="single" w:sz="6" w:space="0" w:color="E2E5E9"/>
          <w:bottom w:val="single" w:sz="6" w:space="0" w:color="E2E5E9"/>
          <w:right w:val="single" w:sz="6" w:space="0" w:color="E2E5E9"/>
          <w:insideH w:val="single" w:sz="6" w:space="0" w:color="E2E5E9"/>
          <w:insideV w:val="single" w:sz="6" w:space="0" w:color="E2E5E9"/>
        </w:tblBorders>
      </w:tblPr>
      <w:tblGrid>
        <w:gridCol w:w="1500"/>
        <w:gridCol w:w="1260"/>
        <w:gridCol w:w="1380"/>
        <w:gridCol w:w="1260"/>
        <w:gridCol w:w="1500"/>
        <w:gridCol w:w="2460"/>
      </w:tblGrid>
      <w:tr>
        <w:trPr>
          <w:trHeight w:hRule="atLeast"/>
          <w:tblHeader w:val="true"/>
        </w:trPr>
        <w:tc>
          <w:tcPr>
            <w:tcW w:type="dxa" w:w="1500"/>
            <w:tcMar>
              <w:top w:w="80" w:type="dxa"/>
              <w:start w:w="120" w:type="dxa"/>
              <w:bottom w:w="80" w:type="dxa"/>
              <w:end w:w="120" w:type="dxa"/>
            </w:tcMar>
            <w:vAlign w:val="center"/>
            <w:shd w:fill="941126"/>
          </w:tcPr>
          <w:p>
            <w:pPr>
              <w:spacing w:before="0" w:after="0" w:line="252" w:lineRule="auto"/>
              <w:jc w:val="center"/>
            </w:pPr>
            <w:r/>
            <w:r>
              <w:rPr>
                <w:rFonts w:ascii="Calibri" w:hAnsi="Calibri"/>
                <w:b/>
                <w:color w:val="FFFFFF"/>
                <w:sz w:val="15"/>
              </w:rPr>
              <w:t>OPPORTUNITY</w:t>
            </w:r>
          </w:p>
        </w:tc>
        <w:tc>
          <w:tcPr>
            <w:tcW w:type="dxa" w:w="1260"/>
            <w:tcMar>
              <w:top w:w="80" w:type="dxa"/>
              <w:start w:w="120" w:type="dxa"/>
              <w:bottom w:w="80" w:type="dxa"/>
              <w:end w:w="120" w:type="dxa"/>
            </w:tcMar>
            <w:vAlign w:val="center"/>
            <w:shd w:fill="941126"/>
          </w:tcPr>
          <w:p>
            <w:pPr>
              <w:spacing w:before="0" w:after="0" w:line="252" w:lineRule="auto"/>
              <w:jc w:val="center"/>
            </w:pPr>
            <w:r/>
            <w:r>
              <w:rPr>
                <w:rFonts w:ascii="Calibri" w:hAnsi="Calibri"/>
                <w:b/>
                <w:color w:val="FFFFFF"/>
                <w:sz w:val="15"/>
              </w:rPr>
              <w:t>PRODUCT FIT</w:t>
            </w:r>
          </w:p>
        </w:tc>
        <w:tc>
          <w:tcPr>
            <w:tcW w:type="dxa" w:w="1380"/>
            <w:tcMar>
              <w:top w:w="80" w:type="dxa"/>
              <w:start w:w="120" w:type="dxa"/>
              <w:bottom w:w="80" w:type="dxa"/>
              <w:end w:w="120" w:type="dxa"/>
            </w:tcMar>
            <w:vAlign w:val="center"/>
            <w:shd w:fill="941126"/>
          </w:tcPr>
          <w:p>
            <w:pPr>
              <w:spacing w:before="0" w:after="0" w:line="252" w:lineRule="auto"/>
              <w:jc w:val="center"/>
            </w:pPr>
            <w:r/>
            <w:r>
              <w:rPr>
                <w:rFonts w:ascii="Calibri" w:hAnsi="Calibri"/>
                <w:b/>
                <w:color w:val="FFFFFF"/>
                <w:sz w:val="15"/>
              </w:rPr>
              <w:t>CULTURAL FIT</w:t>
            </w:r>
          </w:p>
        </w:tc>
        <w:tc>
          <w:tcPr>
            <w:tcW w:type="dxa" w:w="1260"/>
            <w:tcMar>
              <w:top w:w="80" w:type="dxa"/>
              <w:start w:w="120" w:type="dxa"/>
              <w:bottom w:w="80" w:type="dxa"/>
              <w:end w:w="120" w:type="dxa"/>
            </w:tcMar>
            <w:vAlign w:val="center"/>
            <w:shd w:fill="941126"/>
          </w:tcPr>
          <w:p>
            <w:pPr>
              <w:spacing w:before="0" w:after="0" w:line="252" w:lineRule="auto"/>
              <w:jc w:val="center"/>
            </w:pPr>
            <w:r/>
            <w:r>
              <w:rPr>
                <w:rFonts w:ascii="Calibri" w:hAnsi="Calibri"/>
                <w:b/>
                <w:color w:val="FFFFFF"/>
                <w:sz w:val="15"/>
              </w:rPr>
              <w:t>SPEED TO TEST</w:t>
            </w:r>
          </w:p>
        </w:tc>
        <w:tc>
          <w:tcPr>
            <w:tcW w:type="dxa" w:w="1500"/>
            <w:tcMar>
              <w:top w:w="80" w:type="dxa"/>
              <w:start w:w="120" w:type="dxa"/>
              <w:bottom w:w="80" w:type="dxa"/>
              <w:end w:w="120" w:type="dxa"/>
            </w:tcMar>
            <w:vAlign w:val="center"/>
            <w:shd w:fill="941126"/>
          </w:tcPr>
          <w:p>
            <w:pPr>
              <w:spacing w:before="0" w:after="0" w:line="252" w:lineRule="auto"/>
              <w:jc w:val="center"/>
            </w:pPr>
            <w:r/>
            <w:r>
              <w:rPr>
                <w:rFonts w:ascii="Calibri" w:hAnsi="Calibri"/>
                <w:b/>
                <w:color w:val="FFFFFF"/>
                <w:sz w:val="15"/>
              </w:rPr>
              <w:t>KEY CONSTRAINT</w:t>
            </w:r>
          </w:p>
        </w:tc>
        <w:tc>
          <w:tcPr>
            <w:tcW w:type="dxa" w:w="2460"/>
            <w:tcMar>
              <w:top w:w="80" w:type="dxa"/>
              <w:start w:w="120" w:type="dxa"/>
              <w:bottom w:w="80" w:type="dxa"/>
              <w:end w:w="120" w:type="dxa"/>
            </w:tcMar>
            <w:vAlign w:val="center"/>
            <w:shd w:fill="941126"/>
          </w:tcPr>
          <w:p>
            <w:pPr>
              <w:spacing w:before="0" w:after="0" w:line="252" w:lineRule="auto"/>
              <w:jc w:val="center"/>
            </w:pPr>
            <w:r/>
            <w:r>
              <w:rPr>
                <w:rFonts w:ascii="Calibri" w:hAnsi="Calibri"/>
                <w:b/>
                <w:color w:val="FFFFFF"/>
                <w:sz w:val="15"/>
              </w:rPr>
              <w:t>2021 RECOMMENDATION</w:t>
            </w:r>
          </w:p>
        </w:tc>
      </w:tr>
      <w:tr>
        <w:trPr>
          <w:trHeight w:hRule="atLeast"/>
        </w:trPr>
        <w:tc>
          <w:tcPr>
            <w:tcW w:type="dxa" w:w="1500"/>
            <w:tcMar>
              <w:top w:w="80" w:type="dxa"/>
              <w:start w:w="120" w:type="dxa"/>
              <w:bottom w:w="80" w:type="dxa"/>
              <w:end w:w="120" w:type="dxa"/>
            </w:tcMar>
            <w:vAlign w:val="center"/>
          </w:tcPr>
          <w:p>
            <w:pPr>
              <w:spacing w:before="0" w:after="0" w:line="252" w:lineRule="auto"/>
              <w:jc w:val="left"/>
            </w:pPr>
            <w:r/>
            <w:r>
              <w:rPr>
                <w:rFonts w:ascii="Calibri" w:hAnsi="Calibri"/>
                <w:b/>
                <w:color w:val="202124"/>
                <w:sz w:val="15"/>
              </w:rPr>
              <w:t>Lifting / gym</w:t>
            </w:r>
          </w:p>
        </w:tc>
        <w:tc>
          <w:tcPr>
            <w:tcW w:type="dxa" w:w="1260"/>
            <w:tcMar>
              <w:top w:w="80" w:type="dxa"/>
              <w:start w:w="120" w:type="dxa"/>
              <w:bottom w:w="80" w:type="dxa"/>
              <w:end w:w="120" w:type="dxa"/>
            </w:tcMar>
            <w:vAlign w:val="center"/>
          </w:tcPr>
          <w:p>
            <w:pPr>
              <w:spacing w:before="0" w:after="0" w:line="252" w:lineRule="auto"/>
              <w:jc w:val="center"/>
            </w:pPr>
            <w:r/>
            <w:r>
              <w:rPr>
                <w:rFonts w:ascii="Calibri" w:hAnsi="Calibri"/>
                <w:b/>
                <w:color w:val="2E6B4F"/>
                <w:sz w:val="15"/>
              </w:rPr>
              <w:t>High</w:t>
            </w:r>
          </w:p>
        </w:tc>
        <w:tc>
          <w:tcPr>
            <w:tcW w:type="dxa" w:w="1380"/>
            <w:tcMar>
              <w:top w:w="80" w:type="dxa"/>
              <w:start w:w="120" w:type="dxa"/>
              <w:bottom w:w="80" w:type="dxa"/>
              <w:end w:w="120" w:type="dxa"/>
            </w:tcMar>
            <w:vAlign w:val="center"/>
          </w:tcPr>
          <w:p>
            <w:pPr>
              <w:spacing w:before="0" w:after="0" w:line="252" w:lineRule="auto"/>
              <w:jc w:val="center"/>
            </w:pPr>
            <w:r/>
            <w:r>
              <w:rPr>
                <w:rFonts w:ascii="Calibri" w:hAnsi="Calibri"/>
                <w:b/>
                <w:color w:val="8A5A00"/>
                <w:sz w:val="15"/>
              </w:rPr>
              <w:t>Medium-high</w:t>
            </w:r>
          </w:p>
        </w:tc>
        <w:tc>
          <w:tcPr>
            <w:tcW w:type="dxa" w:w="1260"/>
            <w:tcMar>
              <w:top w:w="80" w:type="dxa"/>
              <w:start w:w="120" w:type="dxa"/>
              <w:bottom w:w="80" w:type="dxa"/>
              <w:end w:w="120" w:type="dxa"/>
            </w:tcMar>
            <w:vAlign w:val="center"/>
          </w:tcPr>
          <w:p>
            <w:pPr>
              <w:spacing w:before="0" w:after="0" w:line="252" w:lineRule="auto"/>
              <w:jc w:val="center"/>
            </w:pPr>
            <w:r/>
            <w:r>
              <w:rPr>
                <w:rFonts w:ascii="Calibri" w:hAnsi="Calibri"/>
                <w:b/>
                <w:color w:val="202124"/>
                <w:sz w:val="15"/>
              </w:rPr>
              <w:t>Fast</w:t>
            </w:r>
          </w:p>
        </w:tc>
        <w:tc>
          <w:tcPr>
            <w:tcW w:type="dxa" w:w="1500"/>
            <w:tcMar>
              <w:top w:w="80" w:type="dxa"/>
              <w:start w:w="120" w:type="dxa"/>
              <w:bottom w:w="80" w:type="dxa"/>
              <w:end w:w="120" w:type="dxa"/>
            </w:tcMar>
            <w:vAlign w:val="center"/>
          </w:tcPr>
          <w:p>
            <w:pPr>
              <w:spacing w:before="0" w:after="0" w:line="252" w:lineRule="auto"/>
              <w:jc w:val="left"/>
            </w:pPr>
            <w:r/>
            <w:r>
              <w:rPr>
                <w:rFonts w:ascii="Calibri" w:hAnsi="Calibri"/>
                <w:b w:val="0"/>
                <w:color w:val="202124"/>
                <w:sz w:val="15"/>
              </w:rPr>
              <w:t>Converse already benefits from the same flat-sole use case.</w:t>
            </w:r>
          </w:p>
        </w:tc>
        <w:tc>
          <w:tcPr>
            <w:tcW w:type="dxa" w:w="2460"/>
            <w:tcMar>
              <w:top w:w="80" w:type="dxa"/>
              <w:start w:w="120" w:type="dxa"/>
              <w:bottom w:w="80" w:type="dxa"/>
              <w:end w:w="120" w:type="dxa"/>
            </w:tcMar>
            <w:vAlign w:val="center"/>
          </w:tcPr>
          <w:p>
            <w:pPr>
              <w:spacing w:before="0" w:after="0" w:line="252" w:lineRule="auto"/>
              <w:jc w:val="left"/>
            </w:pPr>
            <w:r/>
            <w:r>
              <w:rPr>
                <w:rFonts w:ascii="Calibri" w:hAnsi="Calibri"/>
                <w:b w:val="0"/>
                <w:color w:val="202124"/>
                <w:sz w:val="15"/>
              </w:rPr>
              <w:t>Validate first by marketing the use case; develop a dedicated product only if evidence supports it.</w:t>
            </w:r>
          </w:p>
        </w:tc>
      </w:tr>
      <w:tr>
        <w:trPr>
          <w:trHeight w:hRule="atLeast"/>
        </w:trPr>
        <w:tc>
          <w:tcPr>
            <w:tcW w:type="dxa" w:w="1500"/>
            <w:tcMar>
              <w:top w:w="80" w:type="dxa"/>
              <w:start w:w="120" w:type="dxa"/>
              <w:bottom w:w="80" w:type="dxa"/>
              <w:end w:w="120" w:type="dxa"/>
            </w:tcMar>
            <w:vAlign w:val="center"/>
            <w:shd w:fill="F3F4F6"/>
          </w:tcPr>
          <w:p>
            <w:pPr>
              <w:spacing w:before="0" w:after="0" w:line="252" w:lineRule="auto"/>
              <w:jc w:val="left"/>
            </w:pPr>
            <w:r/>
            <w:r>
              <w:rPr>
                <w:rFonts w:ascii="Calibri" w:hAnsi="Calibri"/>
                <w:b/>
                <w:color w:val="202124"/>
                <w:sz w:val="15"/>
              </w:rPr>
              <w:t>Indoor soccer</w:t>
            </w:r>
          </w:p>
        </w:tc>
        <w:tc>
          <w:tcPr>
            <w:tcW w:type="dxa" w:w="1260"/>
            <w:tcMar>
              <w:top w:w="80" w:type="dxa"/>
              <w:start w:w="120" w:type="dxa"/>
              <w:bottom w:w="80" w:type="dxa"/>
              <w:end w:w="120" w:type="dxa"/>
            </w:tcMar>
            <w:vAlign w:val="center"/>
            <w:shd w:fill="F3F4F6"/>
          </w:tcPr>
          <w:p>
            <w:pPr>
              <w:spacing w:before="0" w:after="0" w:line="252" w:lineRule="auto"/>
              <w:jc w:val="center"/>
            </w:pPr>
            <w:r/>
            <w:r>
              <w:rPr>
                <w:rFonts w:ascii="Calibri" w:hAnsi="Calibri"/>
                <w:b/>
                <w:color w:val="8A5A00"/>
                <w:sz w:val="15"/>
              </w:rPr>
              <w:t>Medium-high</w:t>
            </w:r>
          </w:p>
        </w:tc>
        <w:tc>
          <w:tcPr>
            <w:tcW w:type="dxa" w:w="1380"/>
            <w:tcMar>
              <w:top w:w="80" w:type="dxa"/>
              <w:start w:w="120" w:type="dxa"/>
              <w:bottom w:w="80" w:type="dxa"/>
              <w:end w:w="120" w:type="dxa"/>
            </w:tcMar>
            <w:vAlign w:val="center"/>
            <w:shd w:fill="F3F4F6"/>
          </w:tcPr>
          <w:p>
            <w:pPr>
              <w:spacing w:before="0" w:after="0" w:line="252" w:lineRule="auto"/>
              <w:jc w:val="center"/>
            </w:pPr>
            <w:r/>
            <w:r>
              <w:rPr>
                <w:rFonts w:ascii="Calibri" w:hAnsi="Calibri"/>
                <w:b/>
                <w:color w:val="8A5A00"/>
                <w:sz w:val="15"/>
              </w:rPr>
              <w:t>Medium-high</w:t>
            </w:r>
          </w:p>
        </w:tc>
        <w:tc>
          <w:tcPr>
            <w:tcW w:type="dxa" w:w="1260"/>
            <w:tcMar>
              <w:top w:w="80" w:type="dxa"/>
              <w:start w:w="120" w:type="dxa"/>
              <w:bottom w:w="80" w:type="dxa"/>
              <w:end w:w="120" w:type="dxa"/>
            </w:tcMar>
            <w:vAlign w:val="center"/>
            <w:shd w:fill="F3F4F6"/>
          </w:tcPr>
          <w:p>
            <w:pPr>
              <w:spacing w:before="0" w:after="0" w:line="252" w:lineRule="auto"/>
              <w:jc w:val="center"/>
            </w:pPr>
            <w:r/>
            <w:r>
              <w:rPr>
                <w:rFonts w:ascii="Calibri" w:hAnsi="Calibri"/>
                <w:b/>
                <w:color w:val="8A5A00"/>
                <w:sz w:val="15"/>
              </w:rPr>
              <w:t>Medium</w:t>
            </w:r>
          </w:p>
        </w:tc>
        <w:tc>
          <w:tcPr>
            <w:tcW w:type="dxa" w:w="1500"/>
            <w:tcMar>
              <w:top w:w="80" w:type="dxa"/>
              <w:start w:w="120" w:type="dxa"/>
              <w:bottom w:w="80" w:type="dxa"/>
              <w:end w:w="120" w:type="dxa"/>
            </w:tcMar>
            <w:vAlign w:val="center"/>
            <w:shd w:fill="F3F4F6"/>
          </w:tcPr>
          <w:p>
            <w:pPr>
              <w:spacing w:before="0" w:after="0" w:line="252" w:lineRule="auto"/>
              <w:jc w:val="left"/>
            </w:pPr>
            <w:r/>
            <w:r>
              <w:rPr>
                <w:rFonts w:ascii="Calibri" w:hAnsi="Calibri"/>
                <w:b w:val="0"/>
                <w:color w:val="202124"/>
                <w:sz w:val="15"/>
              </w:rPr>
              <w:t>Adidas has substantial category and lifestyle credibility.</w:t>
            </w:r>
          </w:p>
        </w:tc>
        <w:tc>
          <w:tcPr>
            <w:tcW w:type="dxa" w:w="2460"/>
            <w:tcMar>
              <w:top w:w="80" w:type="dxa"/>
              <w:start w:w="120" w:type="dxa"/>
              <w:bottom w:w="80" w:type="dxa"/>
              <w:end w:w="120" w:type="dxa"/>
            </w:tcMar>
            <w:vAlign w:val="center"/>
            <w:shd w:fill="F3F4F6"/>
          </w:tcPr>
          <w:p>
            <w:pPr>
              <w:spacing w:before="0" w:after="0" w:line="252" w:lineRule="auto"/>
              <w:jc w:val="left"/>
            </w:pPr>
            <w:r/>
            <w:r>
              <w:rPr>
                <w:rFonts w:ascii="Calibri" w:hAnsi="Calibri"/>
                <w:b w:val="0"/>
                <w:color w:val="202124"/>
                <w:sz w:val="15"/>
              </w:rPr>
              <w:t>Pilot a limited product with athlete sponsorship and street-soccer content.</w:t>
            </w:r>
          </w:p>
        </w:tc>
      </w:tr>
      <w:tr>
        <w:trPr>
          <w:trHeight w:hRule="atLeast"/>
        </w:trPr>
        <w:tc>
          <w:tcPr>
            <w:tcW w:type="dxa" w:w="1500"/>
            <w:tcMar>
              <w:top w:w="80" w:type="dxa"/>
              <w:start w:w="120" w:type="dxa"/>
              <w:bottom w:w="80" w:type="dxa"/>
              <w:end w:w="120" w:type="dxa"/>
            </w:tcMar>
            <w:vAlign w:val="center"/>
          </w:tcPr>
          <w:p>
            <w:pPr>
              <w:spacing w:before="0" w:after="0" w:line="252" w:lineRule="auto"/>
              <w:jc w:val="left"/>
            </w:pPr>
            <w:r/>
            <w:r>
              <w:rPr>
                <w:rFonts w:ascii="Calibri" w:hAnsi="Calibri"/>
                <w:b/>
                <w:color w:val="202124"/>
                <w:sz w:val="15"/>
              </w:rPr>
              <w:t>Rock climbing</w:t>
            </w:r>
          </w:p>
        </w:tc>
        <w:tc>
          <w:tcPr>
            <w:tcW w:type="dxa" w:w="1260"/>
            <w:tcMar>
              <w:top w:w="80" w:type="dxa"/>
              <w:start w:w="120" w:type="dxa"/>
              <w:bottom w:w="80" w:type="dxa"/>
              <w:end w:w="120" w:type="dxa"/>
            </w:tcMar>
            <w:vAlign w:val="center"/>
          </w:tcPr>
          <w:p>
            <w:pPr>
              <w:spacing w:before="0" w:after="0" w:line="252" w:lineRule="auto"/>
              <w:jc w:val="center"/>
            </w:pPr>
            <w:r/>
            <w:r>
              <w:rPr>
                <w:rFonts w:ascii="Calibri" w:hAnsi="Calibri"/>
                <w:b/>
                <w:color w:val="8A5A00"/>
                <w:sz w:val="15"/>
              </w:rPr>
              <w:t>Low-medium</w:t>
            </w:r>
          </w:p>
        </w:tc>
        <w:tc>
          <w:tcPr>
            <w:tcW w:type="dxa" w:w="1380"/>
            <w:tcMar>
              <w:top w:w="80" w:type="dxa"/>
              <w:start w:w="120" w:type="dxa"/>
              <w:bottom w:w="80" w:type="dxa"/>
              <w:end w:w="120" w:type="dxa"/>
            </w:tcMar>
            <w:vAlign w:val="center"/>
          </w:tcPr>
          <w:p>
            <w:pPr>
              <w:spacing w:before="0" w:after="0" w:line="252" w:lineRule="auto"/>
              <w:jc w:val="center"/>
            </w:pPr>
            <w:r/>
            <w:r>
              <w:rPr>
                <w:rFonts w:ascii="Calibri" w:hAnsi="Calibri"/>
                <w:b/>
                <w:color w:val="2E6B4F"/>
                <w:sz w:val="15"/>
              </w:rPr>
              <w:t>High</w:t>
            </w:r>
          </w:p>
        </w:tc>
        <w:tc>
          <w:tcPr>
            <w:tcW w:type="dxa" w:w="1260"/>
            <w:tcMar>
              <w:top w:w="80" w:type="dxa"/>
              <w:start w:w="120" w:type="dxa"/>
              <w:bottom w:w="80" w:type="dxa"/>
              <w:end w:w="120" w:type="dxa"/>
            </w:tcMar>
            <w:vAlign w:val="center"/>
          </w:tcPr>
          <w:p>
            <w:pPr>
              <w:spacing w:before="0" w:after="0" w:line="252" w:lineRule="auto"/>
              <w:jc w:val="center"/>
            </w:pPr>
            <w:r/>
            <w:r>
              <w:rPr>
                <w:rFonts w:ascii="Calibri" w:hAnsi="Calibri"/>
                <w:b/>
                <w:color w:val="202124"/>
                <w:sz w:val="15"/>
              </w:rPr>
              <w:t>Slow</w:t>
            </w:r>
          </w:p>
        </w:tc>
        <w:tc>
          <w:tcPr>
            <w:tcW w:type="dxa" w:w="1500"/>
            <w:tcMar>
              <w:top w:w="80" w:type="dxa"/>
              <w:start w:w="120" w:type="dxa"/>
              <w:bottom w:w="80" w:type="dxa"/>
              <w:end w:w="120" w:type="dxa"/>
            </w:tcMar>
            <w:vAlign w:val="center"/>
          </w:tcPr>
          <w:p>
            <w:pPr>
              <w:spacing w:before="0" w:after="0" w:line="252" w:lineRule="auto"/>
              <w:jc w:val="left"/>
            </w:pPr>
            <w:r/>
            <w:r>
              <w:rPr>
                <w:rFonts w:ascii="Calibri" w:hAnsi="Calibri"/>
                <w:b w:val="0"/>
                <w:color w:val="202124"/>
                <w:sz w:val="15"/>
              </w:rPr>
              <w:t>Technical footwear requirements and specialist competition.</w:t>
            </w:r>
          </w:p>
        </w:tc>
        <w:tc>
          <w:tcPr>
            <w:tcW w:type="dxa" w:w="2460"/>
            <w:tcMar>
              <w:top w:w="80" w:type="dxa"/>
              <w:start w:w="120" w:type="dxa"/>
              <w:bottom w:w="80" w:type="dxa"/>
              <w:end w:w="120" w:type="dxa"/>
            </w:tcMar>
            <w:vAlign w:val="center"/>
          </w:tcPr>
          <w:p>
            <w:pPr>
              <w:spacing w:before="0" w:after="0" w:line="252" w:lineRule="auto"/>
              <w:jc w:val="left"/>
            </w:pPr>
            <w:r/>
            <w:r>
              <w:rPr>
                <w:rFonts w:ascii="Calibri" w:hAnsi="Calibri"/>
                <w:b w:val="0"/>
                <w:color w:val="202124"/>
                <w:sz w:val="15"/>
              </w:rPr>
              <w:t>Enter through sponsorship and learning before committing to technical product development.</w:t>
            </w:r>
          </w:p>
        </w:tc>
      </w:tr>
      <w:tr>
        <w:trPr>
          <w:trHeight w:hRule="atLeast"/>
        </w:trPr>
        <w:tc>
          <w:tcPr>
            <w:tcW w:type="dxa" w:w="1500"/>
            <w:tcMar>
              <w:top w:w="80" w:type="dxa"/>
              <w:start w:w="120" w:type="dxa"/>
              <w:bottom w:w="80" w:type="dxa"/>
              <w:end w:w="120" w:type="dxa"/>
            </w:tcMar>
            <w:vAlign w:val="center"/>
            <w:shd w:fill="F3F4F6"/>
          </w:tcPr>
          <w:p>
            <w:pPr>
              <w:spacing w:before="0" w:after="0" w:line="252" w:lineRule="auto"/>
              <w:jc w:val="left"/>
            </w:pPr>
            <w:r/>
            <w:r>
              <w:rPr>
                <w:rFonts w:ascii="Calibri" w:hAnsi="Calibri"/>
                <w:b/>
                <w:color w:val="202124"/>
                <w:sz w:val="15"/>
              </w:rPr>
              <w:t>Hiking / lifestyle</w:t>
            </w:r>
          </w:p>
        </w:tc>
        <w:tc>
          <w:tcPr>
            <w:tcW w:type="dxa" w:w="1260"/>
            <w:tcMar>
              <w:top w:w="80" w:type="dxa"/>
              <w:start w:w="120" w:type="dxa"/>
              <w:bottom w:w="80" w:type="dxa"/>
              <w:end w:w="120" w:type="dxa"/>
            </w:tcMar>
            <w:vAlign w:val="center"/>
            <w:shd w:fill="F3F4F6"/>
          </w:tcPr>
          <w:p>
            <w:pPr>
              <w:spacing w:before="0" w:after="0" w:line="252" w:lineRule="auto"/>
              <w:jc w:val="center"/>
            </w:pPr>
            <w:r/>
            <w:r>
              <w:rPr>
                <w:rFonts w:ascii="Calibri" w:hAnsi="Calibri"/>
                <w:b/>
                <w:color w:val="8A5A00"/>
                <w:sz w:val="15"/>
              </w:rPr>
              <w:t>Medium</w:t>
            </w:r>
          </w:p>
        </w:tc>
        <w:tc>
          <w:tcPr>
            <w:tcW w:type="dxa" w:w="1380"/>
            <w:tcMar>
              <w:top w:w="80" w:type="dxa"/>
              <w:start w:w="120" w:type="dxa"/>
              <w:bottom w:w="80" w:type="dxa"/>
              <w:end w:w="120" w:type="dxa"/>
            </w:tcMar>
            <w:vAlign w:val="center"/>
            <w:shd w:fill="F3F4F6"/>
          </w:tcPr>
          <w:p>
            <w:pPr>
              <w:spacing w:before="0" w:after="0" w:line="252" w:lineRule="auto"/>
              <w:jc w:val="center"/>
            </w:pPr>
            <w:r/>
            <w:r>
              <w:rPr>
                <w:rFonts w:ascii="Calibri" w:hAnsi="Calibri"/>
                <w:b/>
                <w:color w:val="8A5A00"/>
                <w:sz w:val="15"/>
              </w:rPr>
              <w:t>Medium</w:t>
            </w:r>
          </w:p>
        </w:tc>
        <w:tc>
          <w:tcPr>
            <w:tcW w:type="dxa" w:w="1260"/>
            <w:tcMar>
              <w:top w:w="80" w:type="dxa"/>
              <w:start w:w="120" w:type="dxa"/>
              <w:bottom w:w="80" w:type="dxa"/>
              <w:end w:w="120" w:type="dxa"/>
            </w:tcMar>
            <w:vAlign w:val="center"/>
            <w:shd w:fill="F3F4F6"/>
          </w:tcPr>
          <w:p>
            <w:pPr>
              <w:spacing w:before="0" w:after="0" w:line="252" w:lineRule="auto"/>
              <w:jc w:val="center"/>
            </w:pPr>
            <w:r/>
            <w:r>
              <w:rPr>
                <w:rFonts w:ascii="Calibri" w:hAnsi="Calibri"/>
                <w:b/>
                <w:color w:val="202124"/>
                <w:sz w:val="15"/>
              </w:rPr>
              <w:t>Slow</w:t>
            </w:r>
          </w:p>
        </w:tc>
        <w:tc>
          <w:tcPr>
            <w:tcW w:type="dxa" w:w="1500"/>
            <w:tcMar>
              <w:top w:w="80" w:type="dxa"/>
              <w:start w:w="120" w:type="dxa"/>
              <w:bottom w:w="80" w:type="dxa"/>
              <w:end w:w="120" w:type="dxa"/>
            </w:tcMar>
            <w:vAlign w:val="center"/>
            <w:shd w:fill="F3F4F6"/>
          </w:tcPr>
          <w:p>
            <w:pPr>
              <w:spacing w:before="0" w:after="0" w:line="252" w:lineRule="auto"/>
              <w:jc w:val="left"/>
            </w:pPr>
            <w:r/>
            <w:r>
              <w:rPr>
                <w:rFonts w:ascii="Calibri" w:hAnsi="Calibri"/>
                <w:b w:val="0"/>
                <w:color w:val="202124"/>
                <w:sz w:val="15"/>
              </w:rPr>
              <w:t>Risk of brand dilution and a longer product-development cycle.</w:t>
            </w:r>
          </w:p>
        </w:tc>
        <w:tc>
          <w:tcPr>
            <w:tcW w:type="dxa" w:w="2460"/>
            <w:tcMar>
              <w:top w:w="80" w:type="dxa"/>
              <w:start w:w="120" w:type="dxa"/>
              <w:bottom w:w="80" w:type="dxa"/>
              <w:end w:w="120" w:type="dxa"/>
            </w:tcMar>
            <w:vAlign w:val="center"/>
            <w:shd w:fill="F3F4F6"/>
          </w:tcPr>
          <w:p>
            <w:pPr>
              <w:spacing w:before="0" w:after="0" w:line="252" w:lineRule="auto"/>
              <w:jc w:val="left"/>
            </w:pPr>
            <w:r/>
            <w:r>
              <w:rPr>
                <w:rFonts w:ascii="Calibri" w:hAnsi="Calibri"/>
                <w:b w:val="0"/>
                <w:color w:val="202124"/>
                <w:sz w:val="15"/>
              </w:rPr>
              <w:t>Treat as a long-range collaboration opportunity with Timberland and The North Face.</w:t>
            </w:r>
          </w:p>
        </w:tc>
      </w:tr>
    </w:tbl>
    <w:p>
      <w:pPr>
        <w:spacing w:before="60" w:after="160"/>
      </w:pPr>
      <w:r>
        <w:rPr>
          <w:rFonts w:ascii="Calibri" w:hAnsi="Calibri"/>
          <w:i/>
          <w:color w:val="5F6368"/>
          <w:sz w:val="16"/>
        </w:rPr>
        <w:t>Method note: ratings are qualitative judgments reconstructed from the original 2021 evidence and recommendations; they are not statistical forecasts.</w:t>
      </w:r>
    </w:p>
    <w:p>
      <w:pPr>
        <w:pStyle w:val="Heading2"/>
      </w:pPr>
      <w:r>
        <w:t>Recommended moves</w:t>
      </w:r>
    </w:p>
    <w:p>
      <w:pPr>
        <w:spacing w:after="100" w:line="259" w:lineRule="auto"/>
      </w:pPr>
      <w:r>
        <w:rPr>
          <w:rFonts w:ascii="Calibri" w:hAnsi="Calibri"/>
          <w:b/>
          <w:color w:val="941126"/>
          <w:sz w:val="20"/>
        </w:rPr>
        <w:t xml:space="preserve">1. Validate lifting demand before building a new shoe. </w:t>
      </w:r>
      <w:r>
        <w:rPr>
          <w:rFonts w:ascii="Calibri" w:hAnsi="Calibri"/>
          <w:color w:val="202124"/>
          <w:sz w:val="20"/>
        </w:rPr>
        <w:t>Use existing flat-sole functionality as the hypothesis. Test education, content, and community response first; use evidence to decide whether a specialized line is justified.</w:t>
      </w:r>
    </w:p>
    <w:p>
      <w:pPr>
        <w:spacing w:after="100" w:line="259" w:lineRule="auto"/>
      </w:pPr>
      <w:r>
        <w:rPr>
          <w:rFonts w:ascii="Calibri" w:hAnsi="Calibri"/>
          <w:b/>
          <w:color w:val="941126"/>
          <w:sz w:val="20"/>
        </w:rPr>
        <w:t xml:space="preserve">2. Pilot indoor soccer as the strongest new-product concept. </w:t>
      </w:r>
      <w:r>
        <w:rPr>
          <w:rFonts w:ascii="Calibri" w:hAnsi="Calibri"/>
          <w:color w:val="202124"/>
          <w:sz w:val="20"/>
        </w:rPr>
        <w:t>Develop a limited release, partner with a credible athlete or league, and use global street-soccer storytelling to connect performance with Vans’ cultural identity.</w:t>
      </w:r>
    </w:p>
    <w:p>
      <w:pPr>
        <w:spacing w:after="100" w:line="259" w:lineRule="auto"/>
      </w:pPr>
      <w:r>
        <w:rPr>
          <w:rFonts w:ascii="Calibri" w:hAnsi="Calibri"/>
          <w:b/>
          <w:color w:val="941126"/>
          <w:sz w:val="20"/>
        </w:rPr>
        <w:t xml:space="preserve">3. Build rock-climbing credibility before product credibility. </w:t>
      </w:r>
      <w:r>
        <w:rPr>
          <w:rFonts w:ascii="Calibri" w:hAnsi="Calibri"/>
          <w:color w:val="202124"/>
          <w:sz w:val="20"/>
        </w:rPr>
        <w:t>Sponsor emerging athletes and collegiate communities, study technical needs, and avoid claiming performance authority before the product earns it.</w:t>
      </w:r>
    </w:p>
    <w:p>
      <w:pPr>
        <w:spacing w:after="100" w:line="259" w:lineRule="auto"/>
      </w:pPr>
      <w:r>
        <w:rPr>
          <w:rFonts w:ascii="Calibri" w:hAnsi="Calibri"/>
          <w:b/>
          <w:color w:val="941126"/>
          <w:sz w:val="20"/>
        </w:rPr>
        <w:t xml:space="preserve">4. Treat hiking as a portfolio-enabled long-term option. </w:t>
      </w:r>
      <w:r>
        <w:rPr>
          <w:rFonts w:ascii="Calibri" w:hAnsi="Calibri"/>
          <w:color w:val="202124"/>
          <w:sz w:val="20"/>
        </w:rPr>
        <w:t>Explore co-development or continued collaboration with Timberland and The North Face while assessing whether Vans’ aging loyalists create a durable family-lifestyle bridge.</w:t>
      </w:r>
    </w:p>
    <w:p>
      <w:pPr>
        <w:pStyle w:val="Heading2"/>
      </w:pPr>
      <w:r>
        <w:t>Marketing-mix implications</w:t>
      </w:r>
    </w:p>
    <w:tbl>
      <w:tblPr>
        <w:tblW w:type="dxa" w:w="9360"/>
        <w:tblLayout w:type="fixed"/>
        <w:tblLook w:firstColumn="1" w:firstRow="1" w:lastColumn="0" w:lastRow="0" w:noHBand="0" w:noVBand="1" w:val="04A0"/>
        <w:tblInd w:w="120" w:type="dxa"/>
        <w:tblBorders>
          <w:top w:val="single" w:sz="6" w:space="0" w:color="E2E5E9"/>
          <w:left w:val="single" w:sz="6" w:space="0" w:color="E2E5E9"/>
          <w:bottom w:val="single" w:sz="6" w:space="0" w:color="E2E5E9"/>
          <w:right w:val="single" w:sz="6" w:space="0" w:color="E2E5E9"/>
          <w:insideH w:val="single" w:sz="6" w:space="0" w:color="E2E5E9"/>
          <w:insideV w:val="single" w:sz="6" w:space="0" w:color="E2E5E9"/>
        </w:tblBorders>
      </w:tblPr>
      <w:tblGrid>
        <w:gridCol w:w="2340"/>
        <w:gridCol w:w="2340"/>
        <w:gridCol w:w="2340"/>
        <w:gridCol w:w="2340"/>
      </w:tblGrid>
      <w:tr>
        <w:trPr>
          <w:trHeight w:hRule="atLeast"/>
          <w:tblHeader w:val="true"/>
        </w:trPr>
        <w:tc>
          <w:tcPr>
            <w:tcW w:type="dxa" w:w="2340"/>
            <w:tcMar>
              <w:top w:w="80" w:type="dxa"/>
              <w:start w:w="120" w:type="dxa"/>
              <w:bottom w:w="80" w:type="dxa"/>
              <w:end w:w="120" w:type="dxa"/>
            </w:tcMar>
            <w:vAlign w:val="center"/>
            <w:shd w:fill="941126"/>
          </w:tcPr>
          <w:p>
            <w:pPr>
              <w:spacing w:before="0" w:after="0" w:line="252" w:lineRule="auto"/>
              <w:jc w:val="center"/>
            </w:pPr>
            <w:r/>
            <w:r>
              <w:rPr>
                <w:rFonts w:ascii="Calibri" w:hAnsi="Calibri"/>
                <w:b/>
                <w:color w:val="FFFFFF"/>
                <w:sz w:val="17"/>
              </w:rPr>
              <w:t>PRODUCT</w:t>
            </w:r>
          </w:p>
        </w:tc>
        <w:tc>
          <w:tcPr>
            <w:tcW w:type="dxa" w:w="2340"/>
            <w:tcMar>
              <w:top w:w="80" w:type="dxa"/>
              <w:start w:w="120" w:type="dxa"/>
              <w:bottom w:w="80" w:type="dxa"/>
              <w:end w:w="120" w:type="dxa"/>
            </w:tcMar>
            <w:vAlign w:val="center"/>
            <w:shd w:fill="941126"/>
          </w:tcPr>
          <w:p>
            <w:pPr>
              <w:spacing w:before="0" w:after="0" w:line="252" w:lineRule="auto"/>
              <w:jc w:val="center"/>
            </w:pPr>
            <w:r/>
            <w:r>
              <w:rPr>
                <w:rFonts w:ascii="Calibri" w:hAnsi="Calibri"/>
                <w:b/>
                <w:color w:val="FFFFFF"/>
                <w:sz w:val="17"/>
              </w:rPr>
              <w:t>PRICE</w:t>
            </w:r>
          </w:p>
        </w:tc>
        <w:tc>
          <w:tcPr>
            <w:tcW w:type="dxa" w:w="2340"/>
            <w:tcMar>
              <w:top w:w="80" w:type="dxa"/>
              <w:start w:w="120" w:type="dxa"/>
              <w:bottom w:w="80" w:type="dxa"/>
              <w:end w:w="120" w:type="dxa"/>
            </w:tcMar>
            <w:vAlign w:val="center"/>
            <w:shd w:fill="941126"/>
          </w:tcPr>
          <w:p>
            <w:pPr>
              <w:spacing w:before="0" w:after="0" w:line="252" w:lineRule="auto"/>
              <w:jc w:val="center"/>
            </w:pPr>
            <w:r/>
            <w:r>
              <w:rPr>
                <w:rFonts w:ascii="Calibri" w:hAnsi="Calibri"/>
                <w:b/>
                <w:color w:val="FFFFFF"/>
                <w:sz w:val="17"/>
              </w:rPr>
              <w:t>PLACE</w:t>
            </w:r>
          </w:p>
        </w:tc>
        <w:tc>
          <w:tcPr>
            <w:tcW w:type="dxa" w:w="2340"/>
            <w:tcMar>
              <w:top w:w="80" w:type="dxa"/>
              <w:start w:w="120" w:type="dxa"/>
              <w:bottom w:w="80" w:type="dxa"/>
              <w:end w:w="120" w:type="dxa"/>
            </w:tcMar>
            <w:vAlign w:val="center"/>
            <w:shd w:fill="941126"/>
          </w:tcPr>
          <w:p>
            <w:pPr>
              <w:spacing w:before="0" w:after="0" w:line="252" w:lineRule="auto"/>
              <w:jc w:val="center"/>
            </w:pPr>
            <w:r/>
            <w:r>
              <w:rPr>
                <w:rFonts w:ascii="Calibri" w:hAnsi="Calibri"/>
                <w:b/>
                <w:color w:val="FFFFFF"/>
                <w:sz w:val="17"/>
              </w:rPr>
              <w:t>PROMOTION</w:t>
            </w:r>
          </w:p>
        </w:tc>
      </w:tr>
      <w:tr>
        <w:trPr>
          <w:trHeight w:hRule="atLeast"/>
        </w:trPr>
        <w:tc>
          <w:tcPr>
            <w:tcW w:type="dxa" w:w="2340"/>
            <w:tcMar>
              <w:top w:w="80" w:type="dxa"/>
              <w:start w:w="120" w:type="dxa"/>
              <w:bottom w:w="80" w:type="dxa"/>
              <w:end w:w="120" w:type="dxa"/>
            </w:tcMar>
            <w:vAlign w:val="center"/>
          </w:tcPr>
          <w:p>
            <w:pPr>
              <w:spacing w:before="0" w:after="0" w:line="252" w:lineRule="auto"/>
              <w:jc w:val="left"/>
            </w:pPr>
            <w:r/>
            <w:r>
              <w:rPr>
                <w:rFonts w:ascii="Calibri" w:hAnsi="Calibri"/>
                <w:b w:val="0"/>
                <w:color w:val="202124"/>
                <w:sz w:val="16"/>
              </w:rPr>
              <w:t>Protect consistent core styles; add adjacent products only where function and culture align.</w:t>
            </w:r>
          </w:p>
        </w:tc>
        <w:tc>
          <w:tcPr>
            <w:tcW w:type="dxa" w:w="2340"/>
            <w:tcMar>
              <w:top w:w="80" w:type="dxa"/>
              <w:start w:w="120" w:type="dxa"/>
              <w:bottom w:w="80" w:type="dxa"/>
              <w:end w:w="120" w:type="dxa"/>
            </w:tcMar>
            <w:vAlign w:val="center"/>
          </w:tcPr>
          <w:p>
            <w:pPr>
              <w:spacing w:before="0" w:after="0" w:line="252" w:lineRule="auto"/>
              <w:jc w:val="left"/>
            </w:pPr>
            <w:r/>
            <w:r>
              <w:rPr>
                <w:rFonts w:ascii="Calibri" w:hAnsi="Calibri"/>
                <w:b w:val="0"/>
                <w:color w:val="202124"/>
                <w:sz w:val="16"/>
              </w:rPr>
              <w:t>Maintain accessible core pricing; reserve premium pricing for scarce, high-demand collaborations.</w:t>
            </w:r>
          </w:p>
        </w:tc>
        <w:tc>
          <w:tcPr>
            <w:tcW w:type="dxa" w:w="2340"/>
            <w:tcMar>
              <w:top w:w="80" w:type="dxa"/>
              <w:start w:w="120" w:type="dxa"/>
              <w:bottom w:w="80" w:type="dxa"/>
              <w:end w:w="120" w:type="dxa"/>
            </w:tcMar>
            <w:vAlign w:val="center"/>
          </w:tcPr>
          <w:p>
            <w:pPr>
              <w:spacing w:before="0" w:after="0" w:line="252" w:lineRule="auto"/>
              <w:jc w:val="left"/>
            </w:pPr>
            <w:r/>
            <w:r>
              <w:rPr>
                <w:rFonts w:ascii="Calibri" w:hAnsi="Calibri"/>
                <w:b w:val="0"/>
                <w:color w:val="202124"/>
                <w:sz w:val="16"/>
              </w:rPr>
              <w:t>Use Vans stores, DTC, specialty retailers, and selective global markets where target communities are visible.</w:t>
            </w:r>
          </w:p>
        </w:tc>
        <w:tc>
          <w:tcPr>
            <w:tcW w:type="dxa" w:w="2340"/>
            <w:tcMar>
              <w:top w:w="80" w:type="dxa"/>
              <w:start w:w="120" w:type="dxa"/>
              <w:bottom w:w="80" w:type="dxa"/>
              <w:end w:w="120" w:type="dxa"/>
            </w:tcMar>
            <w:vAlign w:val="center"/>
          </w:tcPr>
          <w:p>
            <w:pPr>
              <w:spacing w:before="0" w:after="0" w:line="252" w:lineRule="auto"/>
              <w:jc w:val="left"/>
            </w:pPr>
            <w:r/>
            <w:r>
              <w:rPr>
                <w:rFonts w:ascii="Calibri" w:hAnsi="Calibri"/>
                <w:b w:val="0"/>
                <w:color w:val="202124"/>
                <w:sz w:val="16"/>
              </w:rPr>
              <w:t>Activate through athletes, events, local communities, social content, and limited product drops.</w:t>
            </w:r>
          </w:p>
        </w:tc>
      </w:tr>
    </w:tbl>
    <w:p>
      <w:r>
        <w:br w:type="page"/>
      </w:r>
    </w:p>
    <w:p>
      <w:pPr>
        <w:pStyle w:val="Heading1"/>
        <w:spacing w:before="40"/>
        <w:pBdr>
          <w:bottom w:val="single" w:sz="6" w:space="3" w:color="E2E5E9"/>
        </w:pBdr>
      </w:pPr>
      <w:r>
        <w:rPr>
          <w:rFonts w:ascii="Calibri" w:hAnsi="Calibri"/>
          <w:b/>
          <w:color w:val="941126"/>
          <w:sz w:val="32"/>
        </w:rPr>
        <w:t>04  Implementation and measurement</w:t>
      </w:r>
    </w:p>
    <w:p>
      <w:pPr>
        <w:spacing w:after="180"/>
      </w:pPr>
      <w:r>
        <w:rPr>
          <w:rFonts w:ascii="Calibri" w:hAnsi="Calibri"/>
          <w:i/>
          <w:color w:val="5F6368"/>
          <w:sz w:val="20"/>
        </w:rPr>
        <w:t>A stage-gated roadmap limits downside while preserving strategic learning.</w:t>
      </w:r>
    </w:p>
    <w:tbl>
      <w:tblPr>
        <w:tblW w:type="dxa" w:w="9360"/>
        <w:tblLayout w:type="fixed"/>
        <w:tblLook w:firstColumn="1" w:firstRow="1" w:lastColumn="0" w:lastRow="0" w:noHBand="0" w:noVBand="1" w:val="04A0"/>
        <w:tblInd w:w="120" w:type="dxa"/>
        <w:tblBorders>
          <w:top w:val="single" w:sz="6" w:space="0" w:color="E2E5E9"/>
          <w:left w:val="single" w:sz="6" w:space="0" w:color="E2E5E9"/>
          <w:bottom w:val="single" w:sz="6" w:space="0" w:color="E2E5E9"/>
          <w:right w:val="single" w:sz="6" w:space="0" w:color="E2E5E9"/>
          <w:insideH w:val="single" w:sz="6" w:space="0" w:color="E2E5E9"/>
          <w:insideV w:val="single" w:sz="6" w:space="0" w:color="E2E5E9"/>
        </w:tblBorders>
      </w:tblPr>
      <w:tblGrid>
        <w:gridCol w:w="1560"/>
        <w:gridCol w:w="1500"/>
        <w:gridCol w:w="3360"/>
        <w:gridCol w:w="2940"/>
      </w:tblGrid>
      <w:tr>
        <w:trPr>
          <w:trHeight w:hRule="atLeast"/>
          <w:tblHeader w:val="true"/>
        </w:trPr>
        <w:tc>
          <w:tcPr>
            <w:tcW w:type="dxa" w:w="1560"/>
            <w:tcMar>
              <w:top w:w="80" w:type="dxa"/>
              <w:start w:w="120" w:type="dxa"/>
              <w:bottom w:w="80" w:type="dxa"/>
              <w:end w:w="120" w:type="dxa"/>
            </w:tcMar>
            <w:vAlign w:val="center"/>
            <w:shd w:fill="941126"/>
          </w:tcPr>
          <w:p>
            <w:pPr>
              <w:spacing w:before="0" w:after="0" w:line="252" w:lineRule="auto"/>
              <w:jc w:val="center"/>
            </w:pPr>
            <w:r/>
            <w:r>
              <w:rPr>
                <w:rFonts w:ascii="Calibri" w:hAnsi="Calibri"/>
                <w:b/>
                <w:color w:val="FFFFFF"/>
                <w:sz w:val="16"/>
              </w:rPr>
              <w:t>PHASE</w:t>
            </w:r>
          </w:p>
        </w:tc>
        <w:tc>
          <w:tcPr>
            <w:tcW w:type="dxa" w:w="1500"/>
            <w:tcMar>
              <w:top w:w="80" w:type="dxa"/>
              <w:start w:w="120" w:type="dxa"/>
              <w:bottom w:w="80" w:type="dxa"/>
              <w:end w:w="120" w:type="dxa"/>
            </w:tcMar>
            <w:vAlign w:val="center"/>
            <w:shd w:fill="941126"/>
          </w:tcPr>
          <w:p>
            <w:pPr>
              <w:spacing w:before="0" w:after="0" w:line="252" w:lineRule="auto"/>
              <w:jc w:val="center"/>
            </w:pPr>
            <w:r/>
            <w:r>
              <w:rPr>
                <w:rFonts w:ascii="Calibri" w:hAnsi="Calibri"/>
                <w:b/>
                <w:color w:val="FFFFFF"/>
                <w:sz w:val="16"/>
              </w:rPr>
              <w:t>TIMING</w:t>
            </w:r>
          </w:p>
        </w:tc>
        <w:tc>
          <w:tcPr>
            <w:tcW w:type="dxa" w:w="3360"/>
            <w:tcMar>
              <w:top w:w="80" w:type="dxa"/>
              <w:start w:w="120" w:type="dxa"/>
              <w:bottom w:w="80" w:type="dxa"/>
              <w:end w:w="120" w:type="dxa"/>
            </w:tcMar>
            <w:vAlign w:val="center"/>
            <w:shd w:fill="941126"/>
          </w:tcPr>
          <w:p>
            <w:pPr>
              <w:spacing w:before="0" w:after="0" w:line="252" w:lineRule="auto"/>
              <w:jc w:val="center"/>
            </w:pPr>
            <w:r/>
            <w:r>
              <w:rPr>
                <w:rFonts w:ascii="Calibri" w:hAnsi="Calibri"/>
                <w:b/>
                <w:color w:val="FFFFFF"/>
                <w:sz w:val="16"/>
              </w:rPr>
              <w:t>PRIMARY WORK</w:t>
            </w:r>
          </w:p>
        </w:tc>
        <w:tc>
          <w:tcPr>
            <w:tcW w:type="dxa" w:w="2940"/>
            <w:tcMar>
              <w:top w:w="80" w:type="dxa"/>
              <w:start w:w="120" w:type="dxa"/>
              <w:bottom w:w="80" w:type="dxa"/>
              <w:end w:w="120" w:type="dxa"/>
            </w:tcMar>
            <w:vAlign w:val="center"/>
            <w:shd w:fill="941126"/>
          </w:tcPr>
          <w:p>
            <w:pPr>
              <w:spacing w:before="0" w:after="0" w:line="252" w:lineRule="auto"/>
              <w:jc w:val="center"/>
            </w:pPr>
            <w:r/>
            <w:r>
              <w:rPr>
                <w:rFonts w:ascii="Calibri" w:hAnsi="Calibri"/>
                <w:b/>
                <w:color w:val="FFFFFF"/>
                <w:sz w:val="16"/>
              </w:rPr>
              <w:t>DECISION OUTPUT</w:t>
            </w:r>
          </w:p>
        </w:tc>
      </w:tr>
      <w:tr>
        <w:trPr>
          <w:trHeight w:hRule="atLeast"/>
        </w:trPr>
        <w:tc>
          <w:tcPr>
            <w:tcW w:type="dxa" w:w="1560"/>
            <w:tcMar>
              <w:top w:w="80" w:type="dxa"/>
              <w:start w:w="120" w:type="dxa"/>
              <w:bottom w:w="80" w:type="dxa"/>
              <w:end w:w="120" w:type="dxa"/>
            </w:tcMar>
            <w:vAlign w:val="center"/>
          </w:tcPr>
          <w:p>
            <w:pPr>
              <w:spacing w:before="0" w:after="0" w:line="252" w:lineRule="auto"/>
              <w:jc w:val="left"/>
            </w:pPr>
            <w:r/>
            <w:r>
              <w:rPr>
                <w:rFonts w:ascii="Calibri" w:hAnsi="Calibri"/>
                <w:b w:val="0"/>
                <w:color w:val="202124"/>
                <w:sz w:val="16"/>
              </w:rPr>
              <w:t>Validate</w:t>
            </w:r>
          </w:p>
        </w:tc>
        <w:tc>
          <w:tcPr>
            <w:tcW w:type="dxa" w:w="1500"/>
            <w:tcMar>
              <w:top w:w="80" w:type="dxa"/>
              <w:start w:w="120" w:type="dxa"/>
              <w:bottom w:w="80" w:type="dxa"/>
              <w:end w:w="120" w:type="dxa"/>
            </w:tcMar>
            <w:vAlign w:val="center"/>
          </w:tcPr>
          <w:p>
            <w:pPr>
              <w:spacing w:before="0" w:after="0" w:line="252" w:lineRule="auto"/>
              <w:jc w:val="left"/>
            </w:pPr>
            <w:r/>
            <w:r>
              <w:rPr>
                <w:rFonts w:ascii="Calibri" w:hAnsi="Calibri"/>
                <w:b w:val="0"/>
                <w:color w:val="202124"/>
                <w:sz w:val="16"/>
              </w:rPr>
              <w:t>0-12 months</w:t>
            </w:r>
          </w:p>
        </w:tc>
        <w:tc>
          <w:tcPr>
            <w:tcW w:type="dxa" w:w="3360"/>
            <w:tcMar>
              <w:top w:w="80" w:type="dxa"/>
              <w:start w:w="120" w:type="dxa"/>
              <w:bottom w:w="80" w:type="dxa"/>
              <w:end w:w="120" w:type="dxa"/>
            </w:tcMar>
            <w:vAlign w:val="center"/>
          </w:tcPr>
          <w:p>
            <w:pPr>
              <w:spacing w:before="0" w:after="0" w:line="252" w:lineRule="auto"/>
              <w:jc w:val="left"/>
            </w:pPr>
            <w:r/>
            <w:r>
              <w:rPr>
                <w:rFonts w:ascii="Calibri" w:hAnsi="Calibri"/>
                <w:b w:val="0"/>
                <w:color w:val="202124"/>
                <w:sz w:val="16"/>
              </w:rPr>
              <w:t>Supplement secondary research with customer feedback; test use-case content, community response, and purchase intent.</w:t>
            </w:r>
          </w:p>
        </w:tc>
        <w:tc>
          <w:tcPr>
            <w:tcW w:type="dxa" w:w="2940"/>
            <w:tcMar>
              <w:top w:w="80" w:type="dxa"/>
              <w:start w:w="120" w:type="dxa"/>
              <w:bottom w:w="80" w:type="dxa"/>
              <w:end w:w="120" w:type="dxa"/>
            </w:tcMar>
            <w:vAlign w:val="center"/>
          </w:tcPr>
          <w:p>
            <w:pPr>
              <w:spacing w:before="0" w:after="0" w:line="252" w:lineRule="auto"/>
              <w:jc w:val="left"/>
            </w:pPr>
            <w:r/>
            <w:r>
              <w:rPr>
                <w:rFonts w:ascii="Calibri" w:hAnsi="Calibri"/>
                <w:b w:val="0"/>
                <w:color w:val="202124"/>
                <w:sz w:val="16"/>
              </w:rPr>
              <w:t>Confirm whether demand is real enough to justify a product or pilot.</w:t>
            </w:r>
          </w:p>
        </w:tc>
      </w:tr>
      <w:tr>
        <w:trPr>
          <w:trHeight w:hRule="atLeast"/>
        </w:trPr>
        <w:tc>
          <w:tcPr>
            <w:tcW w:type="dxa" w:w="1560"/>
            <w:tcMar>
              <w:top w:w="80" w:type="dxa"/>
              <w:start w:w="120" w:type="dxa"/>
              <w:bottom w:w="80" w:type="dxa"/>
              <w:end w:w="120" w:type="dxa"/>
            </w:tcMar>
            <w:vAlign w:val="center"/>
            <w:shd w:fill="F3F4F6"/>
          </w:tcPr>
          <w:p>
            <w:pPr>
              <w:spacing w:before="0" w:after="0" w:line="252" w:lineRule="auto"/>
              <w:jc w:val="left"/>
            </w:pPr>
            <w:r/>
            <w:r>
              <w:rPr>
                <w:rFonts w:ascii="Calibri" w:hAnsi="Calibri"/>
                <w:b w:val="0"/>
                <w:color w:val="202124"/>
                <w:sz w:val="16"/>
              </w:rPr>
              <w:t>Pilot</w:t>
            </w:r>
          </w:p>
        </w:tc>
        <w:tc>
          <w:tcPr>
            <w:tcW w:type="dxa" w:w="1500"/>
            <w:tcMar>
              <w:top w:w="80" w:type="dxa"/>
              <w:start w:w="120" w:type="dxa"/>
              <w:bottom w:w="80" w:type="dxa"/>
              <w:end w:w="120" w:type="dxa"/>
            </w:tcMar>
            <w:vAlign w:val="center"/>
            <w:shd w:fill="F3F4F6"/>
          </w:tcPr>
          <w:p>
            <w:pPr>
              <w:spacing w:before="0" w:after="0" w:line="252" w:lineRule="auto"/>
              <w:jc w:val="left"/>
            </w:pPr>
            <w:r/>
            <w:r>
              <w:rPr>
                <w:rFonts w:ascii="Calibri" w:hAnsi="Calibri"/>
                <w:b w:val="0"/>
                <w:color w:val="202124"/>
                <w:sz w:val="16"/>
              </w:rPr>
              <w:t>12-24 months</w:t>
            </w:r>
          </w:p>
        </w:tc>
        <w:tc>
          <w:tcPr>
            <w:tcW w:type="dxa" w:w="3360"/>
            <w:tcMar>
              <w:top w:w="80" w:type="dxa"/>
              <w:start w:w="120" w:type="dxa"/>
              <w:bottom w:w="80" w:type="dxa"/>
              <w:end w:w="120" w:type="dxa"/>
            </w:tcMar>
            <w:vAlign w:val="center"/>
            <w:shd w:fill="F3F4F6"/>
          </w:tcPr>
          <w:p>
            <w:pPr>
              <w:spacing w:before="0" w:after="0" w:line="252" w:lineRule="auto"/>
              <w:jc w:val="left"/>
            </w:pPr>
            <w:r/>
            <w:r>
              <w:rPr>
                <w:rFonts w:ascii="Calibri" w:hAnsi="Calibri"/>
                <w:b w:val="0"/>
                <w:color w:val="202124"/>
                <w:sz w:val="16"/>
              </w:rPr>
              <w:t>Launch limited campaigns or products in the strongest niches; establish athlete and community partnerships.</w:t>
            </w:r>
          </w:p>
        </w:tc>
        <w:tc>
          <w:tcPr>
            <w:tcW w:type="dxa" w:w="2940"/>
            <w:tcMar>
              <w:top w:w="80" w:type="dxa"/>
              <w:start w:w="120" w:type="dxa"/>
              <w:bottom w:w="80" w:type="dxa"/>
              <w:end w:w="120" w:type="dxa"/>
            </w:tcMar>
            <w:vAlign w:val="center"/>
            <w:shd w:fill="F3F4F6"/>
          </w:tcPr>
          <w:p>
            <w:pPr>
              <w:spacing w:before="0" w:after="0" w:line="252" w:lineRule="auto"/>
              <w:jc w:val="left"/>
            </w:pPr>
            <w:r/>
            <w:r>
              <w:rPr>
                <w:rFonts w:ascii="Calibri" w:hAnsi="Calibri"/>
                <w:b w:val="0"/>
                <w:color w:val="202124"/>
                <w:sz w:val="16"/>
              </w:rPr>
              <w:t>Measure product economics, customer response, and effect on brand perception.</w:t>
            </w:r>
          </w:p>
        </w:tc>
      </w:tr>
      <w:tr>
        <w:trPr>
          <w:trHeight w:hRule="atLeast"/>
        </w:trPr>
        <w:tc>
          <w:tcPr>
            <w:tcW w:type="dxa" w:w="1560"/>
            <w:tcMar>
              <w:top w:w="80" w:type="dxa"/>
              <w:start w:w="120" w:type="dxa"/>
              <w:bottom w:w="80" w:type="dxa"/>
              <w:end w:w="120" w:type="dxa"/>
            </w:tcMar>
            <w:vAlign w:val="center"/>
          </w:tcPr>
          <w:p>
            <w:pPr>
              <w:spacing w:before="0" w:after="0" w:line="252" w:lineRule="auto"/>
              <w:jc w:val="left"/>
            </w:pPr>
            <w:r/>
            <w:r>
              <w:rPr>
                <w:rFonts w:ascii="Calibri" w:hAnsi="Calibri"/>
                <w:b w:val="0"/>
                <w:color w:val="202124"/>
                <w:sz w:val="16"/>
              </w:rPr>
              <w:t>Scale</w:t>
            </w:r>
          </w:p>
        </w:tc>
        <w:tc>
          <w:tcPr>
            <w:tcW w:type="dxa" w:w="1500"/>
            <w:tcMar>
              <w:top w:w="80" w:type="dxa"/>
              <w:start w:w="120" w:type="dxa"/>
              <w:bottom w:w="80" w:type="dxa"/>
              <w:end w:w="120" w:type="dxa"/>
            </w:tcMar>
            <w:vAlign w:val="center"/>
          </w:tcPr>
          <w:p>
            <w:pPr>
              <w:spacing w:before="0" w:after="0" w:line="252" w:lineRule="auto"/>
              <w:jc w:val="left"/>
            </w:pPr>
            <w:r/>
            <w:r>
              <w:rPr>
                <w:rFonts w:ascii="Calibri" w:hAnsi="Calibri"/>
                <w:b w:val="0"/>
                <w:color w:val="202124"/>
                <w:sz w:val="16"/>
              </w:rPr>
              <w:t>2-5 years</w:t>
            </w:r>
          </w:p>
        </w:tc>
        <w:tc>
          <w:tcPr>
            <w:tcW w:type="dxa" w:w="3360"/>
            <w:tcMar>
              <w:top w:w="80" w:type="dxa"/>
              <w:start w:w="120" w:type="dxa"/>
              <w:bottom w:w="80" w:type="dxa"/>
              <w:end w:w="120" w:type="dxa"/>
            </w:tcMar>
            <w:vAlign w:val="center"/>
          </w:tcPr>
          <w:p>
            <w:pPr>
              <w:spacing w:before="0" w:after="0" w:line="252" w:lineRule="auto"/>
              <w:jc w:val="left"/>
            </w:pPr>
            <w:r/>
            <w:r>
              <w:rPr>
                <w:rFonts w:ascii="Calibri" w:hAnsi="Calibri"/>
                <w:b w:val="0"/>
                <w:color w:val="202124"/>
                <w:sz w:val="16"/>
              </w:rPr>
              <w:t>Expand winning products, markets, and channels while maintaining core-price and brand guardrails.</w:t>
            </w:r>
          </w:p>
        </w:tc>
        <w:tc>
          <w:tcPr>
            <w:tcW w:type="dxa" w:w="2940"/>
            <w:tcMar>
              <w:top w:w="80" w:type="dxa"/>
              <w:start w:w="120" w:type="dxa"/>
              <w:bottom w:w="80" w:type="dxa"/>
              <w:end w:w="120" w:type="dxa"/>
            </w:tcMar>
            <w:vAlign w:val="center"/>
          </w:tcPr>
          <w:p>
            <w:pPr>
              <w:spacing w:before="0" w:after="0" w:line="252" w:lineRule="auto"/>
              <w:jc w:val="left"/>
            </w:pPr>
            <w:r/>
            <w:r>
              <w:rPr>
                <w:rFonts w:ascii="Calibri" w:hAnsi="Calibri"/>
                <w:b w:val="0"/>
                <w:color w:val="202124"/>
                <w:sz w:val="16"/>
              </w:rPr>
              <w:t>Allocate investment toward categories with repeatable demand and margin potential.</w:t>
            </w:r>
          </w:p>
        </w:tc>
      </w:tr>
      <w:tr>
        <w:trPr>
          <w:trHeight w:hRule="atLeast"/>
        </w:trPr>
        <w:tc>
          <w:tcPr>
            <w:tcW w:type="dxa" w:w="1560"/>
            <w:tcMar>
              <w:top w:w="80" w:type="dxa"/>
              <w:start w:w="120" w:type="dxa"/>
              <w:bottom w:w="80" w:type="dxa"/>
              <w:end w:w="120" w:type="dxa"/>
            </w:tcMar>
            <w:vAlign w:val="center"/>
            <w:shd w:fill="F3F4F6"/>
          </w:tcPr>
          <w:p>
            <w:pPr>
              <w:spacing w:before="0" w:after="0" w:line="252" w:lineRule="auto"/>
              <w:jc w:val="left"/>
            </w:pPr>
            <w:r/>
            <w:r>
              <w:rPr>
                <w:rFonts w:ascii="Calibri" w:hAnsi="Calibri"/>
                <w:b w:val="0"/>
                <w:color w:val="202124"/>
                <w:sz w:val="16"/>
              </w:rPr>
              <w:t>Portfolio options</w:t>
            </w:r>
          </w:p>
        </w:tc>
        <w:tc>
          <w:tcPr>
            <w:tcW w:type="dxa" w:w="1500"/>
            <w:tcMar>
              <w:top w:w="80" w:type="dxa"/>
              <w:start w:w="120" w:type="dxa"/>
              <w:bottom w:w="80" w:type="dxa"/>
              <w:end w:w="120" w:type="dxa"/>
            </w:tcMar>
            <w:vAlign w:val="center"/>
            <w:shd w:fill="F3F4F6"/>
          </w:tcPr>
          <w:p>
            <w:pPr>
              <w:spacing w:before="0" w:after="0" w:line="252" w:lineRule="auto"/>
              <w:jc w:val="left"/>
            </w:pPr>
            <w:r/>
            <w:r>
              <w:rPr>
                <w:rFonts w:ascii="Calibri" w:hAnsi="Calibri"/>
                <w:b w:val="0"/>
                <w:color w:val="202124"/>
                <w:sz w:val="16"/>
              </w:rPr>
              <w:t>5+ years</w:t>
            </w:r>
          </w:p>
        </w:tc>
        <w:tc>
          <w:tcPr>
            <w:tcW w:type="dxa" w:w="3360"/>
            <w:tcMar>
              <w:top w:w="80" w:type="dxa"/>
              <w:start w:w="120" w:type="dxa"/>
              <w:bottom w:w="80" w:type="dxa"/>
              <w:end w:w="120" w:type="dxa"/>
            </w:tcMar>
            <w:vAlign w:val="center"/>
            <w:shd w:fill="F3F4F6"/>
          </w:tcPr>
          <w:p>
            <w:pPr>
              <w:spacing w:before="0" w:after="0" w:line="252" w:lineRule="auto"/>
              <w:jc w:val="left"/>
            </w:pPr>
            <w:r/>
            <w:r>
              <w:rPr>
                <w:rFonts w:ascii="Calibri" w:hAnsi="Calibri"/>
                <w:b w:val="0"/>
                <w:color w:val="202124"/>
                <w:sz w:val="16"/>
              </w:rPr>
              <w:t>Evaluate technically complex or family-lifestyle categories with VF portfolio partners.</w:t>
            </w:r>
          </w:p>
        </w:tc>
        <w:tc>
          <w:tcPr>
            <w:tcW w:type="dxa" w:w="2940"/>
            <w:tcMar>
              <w:top w:w="80" w:type="dxa"/>
              <w:start w:w="120" w:type="dxa"/>
              <w:bottom w:w="80" w:type="dxa"/>
              <w:end w:w="120" w:type="dxa"/>
            </w:tcMar>
            <w:vAlign w:val="center"/>
            <w:shd w:fill="F3F4F6"/>
          </w:tcPr>
          <w:p>
            <w:pPr>
              <w:spacing w:before="0" w:after="0" w:line="252" w:lineRule="auto"/>
              <w:jc w:val="left"/>
            </w:pPr>
            <w:r/>
            <w:r>
              <w:rPr>
                <w:rFonts w:ascii="Calibri" w:hAnsi="Calibri"/>
                <w:b w:val="0"/>
                <w:color w:val="202124"/>
                <w:sz w:val="16"/>
              </w:rPr>
              <w:t>Advance, partner, defer, or discontinue based on evidence and strategic fit.</w:t>
            </w:r>
          </w:p>
        </w:tc>
      </w:tr>
    </w:tbl>
    <w:p>
      <w:pPr>
        <w:pStyle w:val="Heading2"/>
      </w:pPr>
      <w:r>
        <w:t>Measurement framework</w:t>
      </w:r>
    </w:p>
    <w:tbl>
      <w:tblPr>
        <w:tblW w:type="dxa" w:w="9360"/>
        <w:tblLayout w:type="fixed"/>
        <w:tblLook w:firstColumn="1" w:firstRow="1" w:lastColumn="0" w:lastRow="0" w:noHBand="0" w:noVBand="1" w:val="04A0"/>
        <w:tblInd w:w="120" w:type="dxa"/>
        <w:tblBorders>
          <w:top w:val="single" w:sz="6" w:space="0" w:color="E2E5E9"/>
          <w:left w:val="single" w:sz="6" w:space="0" w:color="E2E5E9"/>
          <w:bottom w:val="single" w:sz="6" w:space="0" w:color="E2E5E9"/>
          <w:right w:val="single" w:sz="6" w:space="0" w:color="E2E5E9"/>
          <w:insideH w:val="single" w:sz="6" w:space="0" w:color="E2E5E9"/>
          <w:insideV w:val="single" w:sz="6" w:space="0" w:color="E2E5E9"/>
        </w:tblBorders>
      </w:tblPr>
      <w:tblGrid>
        <w:gridCol w:w="2040"/>
        <w:gridCol w:w="3180"/>
        <w:gridCol w:w="1320"/>
        <w:gridCol w:w="2820"/>
      </w:tblGrid>
      <w:tr>
        <w:trPr>
          <w:trHeight w:hRule="atLeast"/>
          <w:tblHeader w:val="true"/>
        </w:trPr>
        <w:tc>
          <w:tcPr>
            <w:tcW w:type="dxa" w:w="2040"/>
            <w:tcMar>
              <w:top w:w="80" w:type="dxa"/>
              <w:start w:w="120" w:type="dxa"/>
              <w:bottom w:w="80" w:type="dxa"/>
              <w:end w:w="120" w:type="dxa"/>
            </w:tcMar>
            <w:vAlign w:val="center"/>
            <w:shd w:fill="941126"/>
          </w:tcPr>
          <w:p>
            <w:pPr>
              <w:spacing w:before="0" w:after="0" w:line="252" w:lineRule="auto"/>
              <w:jc w:val="center"/>
            </w:pPr>
            <w:r/>
            <w:r>
              <w:rPr>
                <w:rFonts w:ascii="Calibri" w:hAnsi="Calibri"/>
                <w:b/>
                <w:color w:val="FFFFFF"/>
                <w:sz w:val="16"/>
              </w:rPr>
              <w:t>QUESTION</w:t>
            </w:r>
          </w:p>
        </w:tc>
        <w:tc>
          <w:tcPr>
            <w:tcW w:type="dxa" w:w="3180"/>
            <w:tcMar>
              <w:top w:w="80" w:type="dxa"/>
              <w:start w:w="120" w:type="dxa"/>
              <w:bottom w:w="80" w:type="dxa"/>
              <w:end w:w="120" w:type="dxa"/>
            </w:tcMar>
            <w:vAlign w:val="center"/>
            <w:shd w:fill="941126"/>
          </w:tcPr>
          <w:p>
            <w:pPr>
              <w:spacing w:before="0" w:after="0" w:line="252" w:lineRule="auto"/>
              <w:jc w:val="center"/>
            </w:pPr>
            <w:r/>
            <w:r>
              <w:rPr>
                <w:rFonts w:ascii="Calibri" w:hAnsi="Calibri"/>
                <w:b/>
                <w:color w:val="FFFFFF"/>
                <w:sz w:val="16"/>
              </w:rPr>
              <w:t>ILLUSTRATIVE KPIS</w:t>
            </w:r>
          </w:p>
        </w:tc>
        <w:tc>
          <w:tcPr>
            <w:tcW w:type="dxa" w:w="1320"/>
            <w:tcMar>
              <w:top w:w="80" w:type="dxa"/>
              <w:start w:w="120" w:type="dxa"/>
              <w:bottom w:w="80" w:type="dxa"/>
              <w:end w:w="120" w:type="dxa"/>
            </w:tcMar>
            <w:vAlign w:val="center"/>
            <w:shd w:fill="941126"/>
          </w:tcPr>
          <w:p>
            <w:pPr>
              <w:spacing w:before="0" w:after="0" w:line="252" w:lineRule="auto"/>
              <w:jc w:val="center"/>
            </w:pPr>
            <w:r/>
            <w:r>
              <w:rPr>
                <w:rFonts w:ascii="Calibri" w:hAnsi="Calibri"/>
                <w:b/>
                <w:color w:val="FFFFFF"/>
                <w:sz w:val="16"/>
              </w:rPr>
              <w:t>CADENCE</w:t>
            </w:r>
          </w:p>
        </w:tc>
        <w:tc>
          <w:tcPr>
            <w:tcW w:type="dxa" w:w="2820"/>
            <w:tcMar>
              <w:top w:w="80" w:type="dxa"/>
              <w:start w:w="120" w:type="dxa"/>
              <w:bottom w:w="80" w:type="dxa"/>
              <w:end w:w="120" w:type="dxa"/>
            </w:tcMar>
            <w:vAlign w:val="center"/>
            <w:shd w:fill="941126"/>
          </w:tcPr>
          <w:p>
            <w:pPr>
              <w:spacing w:before="0" w:after="0" w:line="252" w:lineRule="auto"/>
              <w:jc w:val="center"/>
            </w:pPr>
            <w:r/>
            <w:r>
              <w:rPr>
                <w:rFonts w:ascii="Calibri" w:hAnsi="Calibri"/>
                <w:b/>
                <w:color w:val="FFFFFF"/>
                <w:sz w:val="16"/>
              </w:rPr>
              <w:t>DECISION USE</w:t>
            </w:r>
          </w:p>
        </w:tc>
      </w:tr>
      <w:tr>
        <w:trPr>
          <w:trHeight w:hRule="atLeast"/>
        </w:trPr>
        <w:tc>
          <w:tcPr>
            <w:tcW w:type="dxa" w:w="2040"/>
            <w:tcMar>
              <w:top w:w="80" w:type="dxa"/>
              <w:start w:w="120" w:type="dxa"/>
              <w:bottom w:w="80" w:type="dxa"/>
              <w:end w:w="120" w:type="dxa"/>
            </w:tcMar>
            <w:vAlign w:val="center"/>
          </w:tcPr>
          <w:p>
            <w:pPr>
              <w:spacing w:before="0" w:after="0" w:line="252" w:lineRule="auto"/>
              <w:jc w:val="left"/>
            </w:pPr>
            <w:r/>
            <w:r>
              <w:rPr>
                <w:rFonts w:ascii="Calibri" w:hAnsi="Calibri"/>
                <w:b w:val="0"/>
                <w:color w:val="202124"/>
                <w:sz w:val="16"/>
              </w:rPr>
              <w:t>Is there credible demand?</w:t>
            </w:r>
          </w:p>
        </w:tc>
        <w:tc>
          <w:tcPr>
            <w:tcW w:type="dxa" w:w="3180"/>
            <w:tcMar>
              <w:top w:w="80" w:type="dxa"/>
              <w:start w:w="120" w:type="dxa"/>
              <w:bottom w:w="80" w:type="dxa"/>
              <w:end w:w="120" w:type="dxa"/>
            </w:tcMar>
            <w:vAlign w:val="center"/>
          </w:tcPr>
          <w:p>
            <w:pPr>
              <w:spacing w:before="0" w:after="0" w:line="252" w:lineRule="auto"/>
              <w:jc w:val="left"/>
            </w:pPr>
            <w:r/>
            <w:r>
              <w:rPr>
                <w:rFonts w:ascii="Calibri" w:hAnsi="Calibri"/>
                <w:b w:val="0"/>
                <w:color w:val="202124"/>
                <w:sz w:val="16"/>
              </w:rPr>
              <w:t>Campaign engagement, qualified interest, trial participation, stated purchase intent.</w:t>
            </w:r>
          </w:p>
        </w:tc>
        <w:tc>
          <w:tcPr>
            <w:tcW w:type="dxa" w:w="1320"/>
            <w:tcMar>
              <w:top w:w="80" w:type="dxa"/>
              <w:start w:w="120" w:type="dxa"/>
              <w:bottom w:w="80" w:type="dxa"/>
              <w:end w:w="120" w:type="dxa"/>
            </w:tcMar>
            <w:vAlign w:val="center"/>
          </w:tcPr>
          <w:p>
            <w:pPr>
              <w:spacing w:before="0" w:after="0" w:line="252" w:lineRule="auto"/>
              <w:jc w:val="left"/>
            </w:pPr>
            <w:r/>
            <w:r>
              <w:rPr>
                <w:rFonts w:ascii="Calibri" w:hAnsi="Calibri"/>
                <w:b w:val="0"/>
                <w:color w:val="202124"/>
                <w:sz w:val="16"/>
              </w:rPr>
              <w:t>Monthly</w:t>
            </w:r>
          </w:p>
        </w:tc>
        <w:tc>
          <w:tcPr>
            <w:tcW w:type="dxa" w:w="2820"/>
            <w:tcMar>
              <w:top w:w="80" w:type="dxa"/>
              <w:start w:w="120" w:type="dxa"/>
              <w:bottom w:w="80" w:type="dxa"/>
              <w:end w:w="120" w:type="dxa"/>
            </w:tcMar>
            <w:vAlign w:val="center"/>
          </w:tcPr>
          <w:p>
            <w:pPr>
              <w:spacing w:before="0" w:after="0" w:line="252" w:lineRule="auto"/>
              <w:jc w:val="left"/>
            </w:pPr>
            <w:r/>
            <w:r>
              <w:rPr>
                <w:rFonts w:ascii="Calibri" w:hAnsi="Calibri"/>
                <w:b w:val="0"/>
                <w:color w:val="202124"/>
                <w:sz w:val="16"/>
              </w:rPr>
              <w:t>Determine whether to move from research to a limited pilot.</w:t>
            </w:r>
          </w:p>
        </w:tc>
      </w:tr>
      <w:tr>
        <w:trPr>
          <w:trHeight w:hRule="atLeast"/>
        </w:trPr>
        <w:tc>
          <w:tcPr>
            <w:tcW w:type="dxa" w:w="2040"/>
            <w:tcMar>
              <w:top w:w="80" w:type="dxa"/>
              <w:start w:w="120" w:type="dxa"/>
              <w:bottom w:w="80" w:type="dxa"/>
              <w:end w:w="120" w:type="dxa"/>
            </w:tcMar>
            <w:vAlign w:val="center"/>
            <w:shd w:fill="F3F4F6"/>
          </w:tcPr>
          <w:p>
            <w:pPr>
              <w:spacing w:before="0" w:after="0" w:line="252" w:lineRule="auto"/>
              <w:jc w:val="left"/>
            </w:pPr>
            <w:r/>
            <w:r>
              <w:rPr>
                <w:rFonts w:ascii="Calibri" w:hAnsi="Calibri"/>
                <w:b w:val="0"/>
                <w:color w:val="202124"/>
                <w:sz w:val="16"/>
              </w:rPr>
              <w:t>Does the product work commercially?</w:t>
            </w:r>
          </w:p>
        </w:tc>
        <w:tc>
          <w:tcPr>
            <w:tcW w:type="dxa" w:w="3180"/>
            <w:tcMar>
              <w:top w:w="80" w:type="dxa"/>
              <w:start w:w="120" w:type="dxa"/>
              <w:bottom w:w="80" w:type="dxa"/>
              <w:end w:w="120" w:type="dxa"/>
            </w:tcMar>
            <w:vAlign w:val="center"/>
            <w:shd w:fill="F3F4F6"/>
          </w:tcPr>
          <w:p>
            <w:pPr>
              <w:spacing w:before="0" w:after="0" w:line="252" w:lineRule="auto"/>
              <w:jc w:val="left"/>
            </w:pPr>
            <w:r/>
            <w:r>
              <w:rPr>
                <w:rFonts w:ascii="Calibri" w:hAnsi="Calibri"/>
                <w:b w:val="0"/>
                <w:color w:val="202124"/>
                <w:sz w:val="16"/>
              </w:rPr>
              <w:t>Sell-through, revenue, gross margin, return rate, repeat purchase.</w:t>
            </w:r>
          </w:p>
        </w:tc>
        <w:tc>
          <w:tcPr>
            <w:tcW w:type="dxa" w:w="1320"/>
            <w:tcMar>
              <w:top w:w="80" w:type="dxa"/>
              <w:start w:w="120" w:type="dxa"/>
              <w:bottom w:w="80" w:type="dxa"/>
              <w:end w:w="120" w:type="dxa"/>
            </w:tcMar>
            <w:vAlign w:val="center"/>
            <w:shd w:fill="F3F4F6"/>
          </w:tcPr>
          <w:p>
            <w:pPr>
              <w:spacing w:before="0" w:after="0" w:line="252" w:lineRule="auto"/>
              <w:jc w:val="left"/>
            </w:pPr>
            <w:r/>
            <w:r>
              <w:rPr>
                <w:rFonts w:ascii="Calibri" w:hAnsi="Calibri"/>
                <w:b w:val="0"/>
                <w:color w:val="202124"/>
                <w:sz w:val="16"/>
              </w:rPr>
              <w:t>Quarterly</w:t>
            </w:r>
          </w:p>
        </w:tc>
        <w:tc>
          <w:tcPr>
            <w:tcW w:type="dxa" w:w="2820"/>
            <w:tcMar>
              <w:top w:w="80" w:type="dxa"/>
              <w:start w:w="120" w:type="dxa"/>
              <w:bottom w:w="80" w:type="dxa"/>
              <w:end w:w="120" w:type="dxa"/>
            </w:tcMar>
            <w:vAlign w:val="center"/>
            <w:shd w:fill="F3F4F6"/>
          </w:tcPr>
          <w:p>
            <w:pPr>
              <w:spacing w:before="0" w:after="0" w:line="252" w:lineRule="auto"/>
              <w:jc w:val="left"/>
            </w:pPr>
            <w:r/>
            <w:r>
              <w:rPr>
                <w:rFonts w:ascii="Calibri" w:hAnsi="Calibri"/>
                <w:b w:val="0"/>
                <w:color w:val="202124"/>
                <w:sz w:val="16"/>
              </w:rPr>
              <w:t>Adjust the offer, channel, or investment level.</w:t>
            </w:r>
          </w:p>
        </w:tc>
      </w:tr>
      <w:tr>
        <w:trPr>
          <w:trHeight w:hRule="atLeast"/>
        </w:trPr>
        <w:tc>
          <w:tcPr>
            <w:tcW w:type="dxa" w:w="2040"/>
            <w:tcMar>
              <w:top w:w="80" w:type="dxa"/>
              <w:start w:w="120" w:type="dxa"/>
              <w:bottom w:w="80" w:type="dxa"/>
              <w:end w:w="120" w:type="dxa"/>
            </w:tcMar>
            <w:vAlign w:val="center"/>
          </w:tcPr>
          <w:p>
            <w:pPr>
              <w:spacing w:before="0" w:after="0" w:line="252" w:lineRule="auto"/>
              <w:jc w:val="left"/>
            </w:pPr>
            <w:r/>
            <w:r>
              <w:rPr>
                <w:rFonts w:ascii="Calibri" w:hAnsi="Calibri"/>
                <w:b w:val="0"/>
                <w:color w:val="202124"/>
                <w:sz w:val="16"/>
              </w:rPr>
              <w:t>Does the move strengthen the brand?</w:t>
            </w:r>
          </w:p>
        </w:tc>
        <w:tc>
          <w:tcPr>
            <w:tcW w:type="dxa" w:w="3180"/>
            <w:tcMar>
              <w:top w:w="80" w:type="dxa"/>
              <w:start w:w="120" w:type="dxa"/>
              <w:bottom w:w="80" w:type="dxa"/>
              <w:end w:w="120" w:type="dxa"/>
            </w:tcMar>
            <w:vAlign w:val="center"/>
          </w:tcPr>
          <w:p>
            <w:pPr>
              <w:spacing w:before="0" w:after="0" w:line="252" w:lineRule="auto"/>
              <w:jc w:val="left"/>
            </w:pPr>
            <w:r/>
            <w:r>
              <w:rPr>
                <w:rFonts w:ascii="Calibri" w:hAnsi="Calibri"/>
                <w:b w:val="0"/>
                <w:color w:val="202124"/>
                <w:sz w:val="16"/>
              </w:rPr>
              <w:t>Awareness, consideration, community sentiment, athlete/partner feedback.</w:t>
            </w:r>
          </w:p>
        </w:tc>
        <w:tc>
          <w:tcPr>
            <w:tcW w:type="dxa" w:w="1320"/>
            <w:tcMar>
              <w:top w:w="80" w:type="dxa"/>
              <w:start w:w="120" w:type="dxa"/>
              <w:bottom w:w="80" w:type="dxa"/>
              <w:end w:w="120" w:type="dxa"/>
            </w:tcMar>
            <w:vAlign w:val="center"/>
          </w:tcPr>
          <w:p>
            <w:pPr>
              <w:spacing w:before="0" w:after="0" w:line="252" w:lineRule="auto"/>
              <w:jc w:val="left"/>
            </w:pPr>
            <w:r/>
            <w:r>
              <w:rPr>
                <w:rFonts w:ascii="Calibri" w:hAnsi="Calibri"/>
                <w:b w:val="0"/>
                <w:color w:val="202124"/>
                <w:sz w:val="16"/>
              </w:rPr>
              <w:t>Quarterly</w:t>
            </w:r>
          </w:p>
        </w:tc>
        <w:tc>
          <w:tcPr>
            <w:tcW w:type="dxa" w:w="2820"/>
            <w:tcMar>
              <w:top w:w="80" w:type="dxa"/>
              <w:start w:w="120" w:type="dxa"/>
              <w:bottom w:w="80" w:type="dxa"/>
              <w:end w:w="120" w:type="dxa"/>
            </w:tcMar>
            <w:vAlign w:val="center"/>
          </w:tcPr>
          <w:p>
            <w:pPr>
              <w:spacing w:before="0" w:after="0" w:line="252" w:lineRule="auto"/>
              <w:jc w:val="left"/>
            </w:pPr>
            <w:r/>
            <w:r>
              <w:rPr>
                <w:rFonts w:ascii="Calibri" w:hAnsi="Calibri"/>
                <w:b w:val="0"/>
                <w:color w:val="202124"/>
                <w:sz w:val="16"/>
              </w:rPr>
              <w:t>Protect authenticity and stop expansion that weakens the core proposition.</w:t>
            </w:r>
          </w:p>
        </w:tc>
      </w:tr>
      <w:tr>
        <w:trPr>
          <w:trHeight w:hRule="atLeast"/>
        </w:trPr>
        <w:tc>
          <w:tcPr>
            <w:tcW w:type="dxa" w:w="2040"/>
            <w:tcMar>
              <w:top w:w="80" w:type="dxa"/>
              <w:start w:w="120" w:type="dxa"/>
              <w:bottom w:w="80" w:type="dxa"/>
              <w:end w:w="120" w:type="dxa"/>
            </w:tcMar>
            <w:vAlign w:val="center"/>
            <w:shd w:fill="F3F4F6"/>
          </w:tcPr>
          <w:p>
            <w:pPr>
              <w:spacing w:before="0" w:after="0" w:line="252" w:lineRule="auto"/>
              <w:jc w:val="left"/>
            </w:pPr>
            <w:r/>
            <w:r>
              <w:rPr>
                <w:rFonts w:ascii="Calibri" w:hAnsi="Calibri"/>
                <w:b w:val="0"/>
                <w:color w:val="202124"/>
                <w:sz w:val="16"/>
              </w:rPr>
              <w:t>Can the category scale?</w:t>
            </w:r>
          </w:p>
        </w:tc>
        <w:tc>
          <w:tcPr>
            <w:tcW w:type="dxa" w:w="3180"/>
            <w:tcMar>
              <w:top w:w="80" w:type="dxa"/>
              <w:start w:w="120" w:type="dxa"/>
              <w:bottom w:w="80" w:type="dxa"/>
              <w:end w:w="120" w:type="dxa"/>
            </w:tcMar>
            <w:vAlign w:val="center"/>
            <w:shd w:fill="F3F4F6"/>
          </w:tcPr>
          <w:p>
            <w:pPr>
              <w:spacing w:before="0" w:after="0" w:line="252" w:lineRule="auto"/>
              <w:jc w:val="left"/>
            </w:pPr>
            <w:r/>
            <w:r>
              <w:rPr>
                <w:rFonts w:ascii="Calibri" w:hAnsi="Calibri"/>
                <w:b w:val="0"/>
                <w:color w:val="202124"/>
                <w:sz w:val="16"/>
              </w:rPr>
              <w:t>Channel productivity, geographic consistency, contribution margin, path to break-even.</w:t>
            </w:r>
          </w:p>
        </w:tc>
        <w:tc>
          <w:tcPr>
            <w:tcW w:type="dxa" w:w="1320"/>
            <w:tcMar>
              <w:top w:w="80" w:type="dxa"/>
              <w:start w:w="120" w:type="dxa"/>
              <w:bottom w:w="80" w:type="dxa"/>
              <w:end w:w="120" w:type="dxa"/>
            </w:tcMar>
            <w:vAlign w:val="center"/>
            <w:shd w:fill="F3F4F6"/>
          </w:tcPr>
          <w:p>
            <w:pPr>
              <w:spacing w:before="0" w:after="0" w:line="252" w:lineRule="auto"/>
              <w:jc w:val="left"/>
            </w:pPr>
            <w:r/>
            <w:r>
              <w:rPr>
                <w:rFonts w:ascii="Calibri" w:hAnsi="Calibri"/>
                <w:b w:val="0"/>
                <w:color w:val="202124"/>
                <w:sz w:val="16"/>
              </w:rPr>
              <w:t>Annual</w:t>
            </w:r>
          </w:p>
        </w:tc>
        <w:tc>
          <w:tcPr>
            <w:tcW w:type="dxa" w:w="2820"/>
            <w:tcMar>
              <w:top w:w="80" w:type="dxa"/>
              <w:start w:w="120" w:type="dxa"/>
              <w:bottom w:w="80" w:type="dxa"/>
              <w:end w:w="120" w:type="dxa"/>
            </w:tcMar>
            <w:vAlign w:val="center"/>
            <w:shd w:fill="F3F4F6"/>
          </w:tcPr>
          <w:p>
            <w:pPr>
              <w:spacing w:before="0" w:after="0" w:line="252" w:lineRule="auto"/>
              <w:jc w:val="left"/>
            </w:pPr>
            <w:r/>
            <w:r>
              <w:rPr>
                <w:rFonts w:ascii="Calibri" w:hAnsi="Calibri"/>
                <w:b w:val="0"/>
                <w:color w:val="202124"/>
                <w:sz w:val="16"/>
              </w:rPr>
              <w:t>Scale, hold, reposition as limited, or exit.</w:t>
            </w:r>
          </w:p>
        </w:tc>
      </w:tr>
    </w:tbl>
    <w:p>
      <w:pPr>
        <w:spacing w:before="80" w:after="180" w:line="259" w:lineRule="auto"/>
        <w:ind w:left="173" w:right="144"/>
        <w:shd w:fill="F3F4F6"/>
        <w:pBdr>
          <w:left w:val="single" w:sz="24" w:space="5" w:color="C41230"/>
        </w:pBdr>
      </w:pPr>
      <w:r>
        <w:rPr>
          <w:rFonts w:ascii="Calibri" w:hAnsi="Calibri"/>
          <w:b/>
          <w:color w:val="941126"/>
          <w:sz w:val="21"/>
        </w:rPr>
        <w:t xml:space="preserve">Control rule from the original plan: </w:t>
      </w:r>
      <w:r>
        <w:rPr>
          <w:rFonts w:ascii="Calibri" w:hAnsi="Calibri"/>
          <w:color w:val="202124"/>
          <w:sz w:val="21"/>
        </w:rPr>
        <w:t>If an adjacent product line remained unprofitable after one year or lacked a credible path to break-even by year two, Vans should pause further investment, discontinue it, or reposition it as a limited offering.</w:t>
      </w:r>
    </w:p>
    <w:p>
      <w:pPr>
        <w:pStyle w:val="Heading2"/>
      </w:pPr>
      <w:r>
        <w:t>Principal risks and mitigations</w:t>
      </w:r>
    </w:p>
    <w:tbl>
      <w:tblPr>
        <w:tblW w:type="dxa" w:w="9360"/>
        <w:tblLayout w:type="fixed"/>
        <w:tblLook w:firstColumn="1" w:firstRow="1" w:lastColumn="0" w:lastRow="0" w:noHBand="0" w:noVBand="1" w:val="04A0"/>
        <w:tblInd w:w="120" w:type="dxa"/>
        <w:tblBorders>
          <w:top w:val="single" w:sz="6" w:space="0" w:color="E2E5E9"/>
          <w:left w:val="single" w:sz="6" w:space="0" w:color="E2E5E9"/>
          <w:bottom w:val="single" w:sz="6" w:space="0" w:color="E2E5E9"/>
          <w:right w:val="single" w:sz="6" w:space="0" w:color="E2E5E9"/>
          <w:insideH w:val="single" w:sz="6" w:space="0" w:color="E2E5E9"/>
          <w:insideV w:val="single" w:sz="6" w:space="0" w:color="E2E5E9"/>
        </w:tblBorders>
      </w:tblPr>
      <w:tblGrid>
        <w:gridCol w:w="2520"/>
        <w:gridCol w:w="6840"/>
      </w:tblGrid>
      <w:tr>
        <w:trPr>
          <w:trHeight w:hRule="atLeast"/>
          <w:tblHeader w:val="true"/>
        </w:trPr>
        <w:tc>
          <w:tcPr>
            <w:tcW w:type="dxa" w:w="2520"/>
            <w:tcMar>
              <w:top w:w="80" w:type="dxa"/>
              <w:start w:w="120" w:type="dxa"/>
              <w:bottom w:w="80" w:type="dxa"/>
              <w:end w:w="120" w:type="dxa"/>
            </w:tcMar>
            <w:vAlign w:val="center"/>
            <w:shd w:fill="941126"/>
          </w:tcPr>
          <w:p>
            <w:pPr>
              <w:spacing w:before="0" w:after="0" w:line="252" w:lineRule="auto"/>
              <w:jc w:val="center"/>
            </w:pPr>
            <w:r/>
            <w:r>
              <w:rPr>
                <w:rFonts w:ascii="Calibri" w:hAnsi="Calibri"/>
                <w:b/>
                <w:color w:val="FFFFFF"/>
                <w:sz w:val="17"/>
              </w:rPr>
              <w:t>RISK</w:t>
            </w:r>
          </w:p>
        </w:tc>
        <w:tc>
          <w:tcPr>
            <w:tcW w:type="dxa" w:w="6840"/>
            <w:tcMar>
              <w:top w:w="80" w:type="dxa"/>
              <w:start w:w="120" w:type="dxa"/>
              <w:bottom w:w="80" w:type="dxa"/>
              <w:end w:w="120" w:type="dxa"/>
            </w:tcMar>
            <w:vAlign w:val="center"/>
            <w:shd w:fill="941126"/>
          </w:tcPr>
          <w:p>
            <w:pPr>
              <w:spacing w:before="0" w:after="0" w:line="252" w:lineRule="auto"/>
              <w:jc w:val="center"/>
            </w:pPr>
            <w:r/>
            <w:r>
              <w:rPr>
                <w:rFonts w:ascii="Calibri" w:hAnsi="Calibri"/>
                <w:b/>
                <w:color w:val="FFFFFF"/>
                <w:sz w:val="17"/>
              </w:rPr>
              <w:t>MITIGATION</w:t>
            </w:r>
          </w:p>
        </w:tc>
      </w:tr>
      <w:tr>
        <w:trPr>
          <w:trHeight w:hRule="atLeast"/>
        </w:trPr>
        <w:tc>
          <w:tcPr>
            <w:tcW w:type="dxa" w:w="2520"/>
            <w:tcMar>
              <w:top w:w="80" w:type="dxa"/>
              <w:start w:w="120" w:type="dxa"/>
              <w:bottom w:w="80" w:type="dxa"/>
              <w:end w:w="120" w:type="dxa"/>
            </w:tcMar>
            <w:vAlign w:val="center"/>
          </w:tcPr>
          <w:p>
            <w:pPr>
              <w:spacing w:before="0" w:after="0" w:line="252" w:lineRule="auto"/>
              <w:jc w:val="left"/>
            </w:pPr>
            <w:r/>
            <w:r>
              <w:rPr>
                <w:rFonts w:ascii="Calibri" w:hAnsi="Calibri"/>
                <w:b w:val="0"/>
                <w:color w:val="202124"/>
                <w:sz w:val="17"/>
              </w:rPr>
              <w:t>Brand dilution</w:t>
            </w:r>
          </w:p>
        </w:tc>
        <w:tc>
          <w:tcPr>
            <w:tcW w:type="dxa" w:w="6840"/>
            <w:tcMar>
              <w:top w:w="80" w:type="dxa"/>
              <w:start w:w="120" w:type="dxa"/>
              <w:bottom w:w="80" w:type="dxa"/>
              <w:end w:w="120" w:type="dxa"/>
            </w:tcMar>
            <w:vAlign w:val="center"/>
          </w:tcPr>
          <w:p>
            <w:pPr>
              <w:spacing w:before="0" w:after="0" w:line="252" w:lineRule="auto"/>
              <w:jc w:val="left"/>
            </w:pPr>
            <w:r/>
            <w:r>
              <w:rPr>
                <w:rFonts w:ascii="Calibri" w:hAnsi="Calibri"/>
                <w:b w:val="0"/>
                <w:color w:val="202124"/>
                <w:sz w:val="17"/>
              </w:rPr>
              <w:t>Prioritize culturally adjacent communities, protect core products, and stage expansion rather than announcing a broad lifestyle repositioning.</w:t>
            </w:r>
          </w:p>
        </w:tc>
      </w:tr>
      <w:tr>
        <w:trPr>
          <w:trHeight w:hRule="atLeast"/>
        </w:trPr>
        <w:tc>
          <w:tcPr>
            <w:tcW w:type="dxa" w:w="2520"/>
            <w:tcMar>
              <w:top w:w="80" w:type="dxa"/>
              <w:start w:w="120" w:type="dxa"/>
              <w:bottom w:w="80" w:type="dxa"/>
              <w:end w:w="120" w:type="dxa"/>
            </w:tcMar>
            <w:vAlign w:val="center"/>
            <w:shd w:fill="F3F4F6"/>
          </w:tcPr>
          <w:p>
            <w:pPr>
              <w:spacing w:before="0" w:after="0" w:line="252" w:lineRule="auto"/>
              <w:jc w:val="left"/>
            </w:pPr>
            <w:r/>
            <w:r>
              <w:rPr>
                <w:rFonts w:ascii="Calibri" w:hAnsi="Calibri"/>
                <w:b w:val="0"/>
                <w:color w:val="202124"/>
                <w:sz w:val="17"/>
              </w:rPr>
              <w:t>Weak technical credibility</w:t>
            </w:r>
          </w:p>
        </w:tc>
        <w:tc>
          <w:tcPr>
            <w:tcW w:type="dxa" w:w="6840"/>
            <w:tcMar>
              <w:top w:w="80" w:type="dxa"/>
              <w:start w:w="120" w:type="dxa"/>
              <w:bottom w:w="80" w:type="dxa"/>
              <w:end w:w="120" w:type="dxa"/>
            </w:tcMar>
            <w:vAlign w:val="center"/>
            <w:shd w:fill="F3F4F6"/>
          </w:tcPr>
          <w:p>
            <w:pPr>
              <w:spacing w:before="0" w:after="0" w:line="252" w:lineRule="auto"/>
              <w:jc w:val="left"/>
            </w:pPr>
            <w:r/>
            <w:r>
              <w:rPr>
                <w:rFonts w:ascii="Calibri" w:hAnsi="Calibri"/>
                <w:b w:val="0"/>
                <w:color w:val="202124"/>
                <w:sz w:val="17"/>
              </w:rPr>
              <w:t>Use athlete input, community pilots, and VF product expertise before claiming specialist performance.</w:t>
            </w:r>
          </w:p>
        </w:tc>
      </w:tr>
      <w:tr>
        <w:trPr>
          <w:trHeight w:hRule="atLeast"/>
        </w:trPr>
        <w:tc>
          <w:tcPr>
            <w:tcW w:type="dxa" w:w="2520"/>
            <w:tcMar>
              <w:top w:w="80" w:type="dxa"/>
              <w:start w:w="120" w:type="dxa"/>
              <w:bottom w:w="80" w:type="dxa"/>
              <w:end w:w="120" w:type="dxa"/>
            </w:tcMar>
            <w:vAlign w:val="center"/>
          </w:tcPr>
          <w:p>
            <w:pPr>
              <w:spacing w:before="0" w:after="0" w:line="252" w:lineRule="auto"/>
              <w:jc w:val="left"/>
            </w:pPr>
            <w:r/>
            <w:r>
              <w:rPr>
                <w:rFonts w:ascii="Calibri" w:hAnsi="Calibri"/>
                <w:b w:val="0"/>
                <w:color w:val="202124"/>
                <w:sz w:val="17"/>
              </w:rPr>
              <w:t>Overinvestment</w:t>
            </w:r>
          </w:p>
        </w:tc>
        <w:tc>
          <w:tcPr>
            <w:tcW w:type="dxa" w:w="6840"/>
            <w:tcMar>
              <w:top w:w="80" w:type="dxa"/>
              <w:start w:w="120" w:type="dxa"/>
              <w:bottom w:w="80" w:type="dxa"/>
              <w:end w:w="120" w:type="dxa"/>
            </w:tcMar>
            <w:vAlign w:val="center"/>
          </w:tcPr>
          <w:p>
            <w:pPr>
              <w:spacing w:before="0" w:after="0" w:line="252" w:lineRule="auto"/>
              <w:jc w:val="left"/>
            </w:pPr>
            <w:r/>
            <w:r>
              <w:rPr>
                <w:rFonts w:ascii="Calibri" w:hAnsi="Calibri"/>
                <w:b w:val="0"/>
                <w:color w:val="202124"/>
                <w:sz w:val="17"/>
              </w:rPr>
              <w:t>Begin with content, limited releases, and explicit decision gates before large product-development commitments.</w:t>
            </w:r>
          </w:p>
        </w:tc>
      </w:tr>
      <w:tr>
        <w:trPr>
          <w:trHeight w:hRule="atLeast"/>
        </w:trPr>
        <w:tc>
          <w:tcPr>
            <w:tcW w:type="dxa" w:w="2520"/>
            <w:tcMar>
              <w:top w:w="80" w:type="dxa"/>
              <w:start w:w="120" w:type="dxa"/>
              <w:bottom w:w="80" w:type="dxa"/>
              <w:end w:w="120" w:type="dxa"/>
            </w:tcMar>
            <w:vAlign w:val="center"/>
            <w:shd w:fill="F3F4F6"/>
          </w:tcPr>
          <w:p>
            <w:pPr>
              <w:spacing w:before="0" w:after="0" w:line="252" w:lineRule="auto"/>
              <w:jc w:val="left"/>
            </w:pPr>
            <w:r/>
            <w:r>
              <w:rPr>
                <w:rFonts w:ascii="Calibri" w:hAnsi="Calibri"/>
                <w:b w:val="0"/>
                <w:color w:val="202124"/>
                <w:sz w:val="17"/>
              </w:rPr>
              <w:t>Competitive response</w:t>
            </w:r>
          </w:p>
        </w:tc>
        <w:tc>
          <w:tcPr>
            <w:tcW w:type="dxa" w:w="6840"/>
            <w:tcMar>
              <w:top w:w="80" w:type="dxa"/>
              <w:start w:w="120" w:type="dxa"/>
              <w:bottom w:w="80" w:type="dxa"/>
              <w:end w:w="120" w:type="dxa"/>
            </w:tcMar>
            <w:vAlign w:val="center"/>
            <w:shd w:fill="F3F4F6"/>
          </w:tcPr>
          <w:p>
            <w:pPr>
              <w:spacing w:before="0" w:after="0" w:line="252" w:lineRule="auto"/>
              <w:jc w:val="left"/>
            </w:pPr>
            <w:r/>
            <w:r>
              <w:rPr>
                <w:rFonts w:ascii="Calibri" w:hAnsi="Calibri"/>
                <w:b w:val="0"/>
                <w:color w:val="202124"/>
                <w:sz w:val="17"/>
              </w:rPr>
              <w:t>Choose niches where community credibility and storytelling can offset competitors’ superior scale.</w:t>
            </w:r>
          </w:p>
        </w:tc>
      </w:tr>
    </w:tbl>
    <w:p>
      <w:r>
        <w:br w:type="page"/>
      </w:r>
    </w:p>
    <w:p>
      <w:pPr>
        <w:spacing w:before="160" w:after="100"/>
      </w:pPr>
      <w:r>
        <w:rPr>
          <w:rFonts w:ascii="Calibri" w:hAnsi="Calibri"/>
          <w:b/>
          <w:color w:val="C41230"/>
          <w:sz w:val="18"/>
        </w:rPr>
        <w:t>PART II - ADAPTED FULL MARKETING PLAN</w:t>
      </w:r>
    </w:p>
    <w:p>
      <w:pPr>
        <w:keepNext/>
        <w:spacing w:before="40" w:after="60"/>
      </w:pPr>
      <w:r>
        <w:rPr>
          <w:rFonts w:ascii="Calibri" w:hAnsi="Calibri"/>
          <w:b/>
          <w:color w:val="202124"/>
          <w:sz w:val="54"/>
        </w:rPr>
        <w:t>Vans: An American Staple</w:t>
      </w:r>
    </w:p>
    <w:p>
      <w:pPr>
        <w:keepNext/>
        <w:spacing w:before="0" w:after="260"/>
      </w:pPr>
      <w:r>
        <w:rPr>
          <w:rFonts w:ascii="Calibri" w:hAnsi="Calibri"/>
          <w:i/>
          <w:color w:val="5F6368"/>
          <w:sz w:val="27"/>
        </w:rPr>
        <w:t>Narrative adaptation of the original 2021 marketing plan</w:t>
      </w:r>
    </w:p>
    <w:p>
      <w:pPr>
        <w:spacing w:before="80" w:after="180" w:line="259" w:lineRule="auto"/>
        <w:ind w:left="173" w:right="144"/>
        <w:shd w:fill="F3F4F6"/>
        <w:pBdr>
          <w:left w:val="single" w:sz="24" w:space="5" w:color="C41230"/>
        </w:pBdr>
      </w:pPr>
      <w:r>
        <w:rPr>
          <w:rFonts w:ascii="Calibri" w:hAnsi="Calibri"/>
          <w:b/>
          <w:color w:val="941126"/>
          <w:sz w:val="21"/>
        </w:rPr>
        <w:t xml:space="preserve">Adaptation note: </w:t>
      </w:r>
      <w:r>
        <w:rPr>
          <w:rFonts w:ascii="Calibri" w:hAnsi="Calibri"/>
          <w:color w:val="202124"/>
          <w:sz w:val="21"/>
        </w:rPr>
        <w:t>The following section restores the substantive narrative from the original paper while improving organization, grammar, tone, and decision clarity. It preserves the 2021 research period and does not present the market claims as current.</w:t>
      </w:r>
    </w:p>
    <w:p>
      <w:pPr>
        <w:pStyle w:val="Heading1"/>
        <w:spacing w:before="200"/>
        <w:pBdr>
          <w:bottom w:val="single" w:sz="6" w:space="3" w:color="E2E5E9"/>
        </w:pBdr>
      </w:pPr>
      <w:r>
        <w:rPr>
          <w:rFonts w:ascii="Calibri" w:hAnsi="Calibri"/>
          <w:b/>
          <w:color w:val="941126"/>
          <w:sz w:val="34"/>
        </w:rPr>
        <w:t>A  Situational analysis</w:t>
      </w:r>
    </w:p>
    <w:p>
      <w:pPr>
        <w:spacing w:before="0" w:after="200"/>
      </w:pPr>
      <w:r>
        <w:rPr>
          <w:rFonts w:ascii="Calibri" w:hAnsi="Calibri"/>
          <w:i/>
          <w:color w:val="5F6368"/>
          <w:sz w:val="20"/>
        </w:rPr>
        <w:t>The central internal strengths, external pressures, and strategic implications identified in the 2021 research.</w:t>
      </w:r>
    </w:p>
    <w:p>
      <w:pPr>
        <w:pStyle w:val="Heading2"/>
        <w:spacing w:before="200" w:after="100"/>
      </w:pPr>
      <w:r>
        <w:rPr>
          <w:rFonts w:ascii="Calibri" w:hAnsi="Calibri"/>
          <w:b/>
          <w:color w:val="941126"/>
          <w:sz w:val="26"/>
        </w:rPr>
        <w:t>Internal and external environment</w:t>
      </w:r>
    </w:p>
    <w:p>
      <w:pPr>
        <w:widowControl/>
        <w:spacing w:before="0" w:after="160" w:line="276" w:lineRule="auto"/>
      </w:pPr>
      <w:r>
        <w:rPr>
          <w:rFonts w:ascii="Calibri" w:hAnsi="Calibri"/>
          <w:color w:val="202124"/>
          <w:sz w:val="21"/>
        </w:rPr>
        <w:t>Vans’ internal identity was built around community, creativity, and cultural connection. Its most important strengths were an established name, unusually loyal customers, recognizable product design, accessible pricing, and recurring collaborations that kept familiar products culturally relevant. Decades of participation in skateboarding, surfing, snowboarding, BMX, music, and youth culture gave the brand credibility that could not be recreated through advertising alone. Apparel and accessories broadened customer engagement, while partnerships with properties such as Disney, Star Wars, and The Beatles created new reasons to revisit the brand.</w:t>
      </w:r>
    </w:p>
    <w:p>
      <w:pPr>
        <w:widowControl/>
        <w:spacing w:before="0" w:after="160" w:line="276" w:lineRule="auto"/>
      </w:pPr>
      <w:r>
        <w:rPr>
          <w:rFonts w:ascii="Calibri" w:hAnsi="Calibri"/>
          <w:color w:val="202124"/>
          <w:sz w:val="21"/>
        </w:rPr>
        <w:t>Those strengths also created constraints. Vans depended on a narrower set of lifestyle and action-sports categories than Nike, Adidas, and other diversified competitors, leaving less room for a failed expansion. High production and marketing costs increased the pressure to choose carefully, and attempts to become a universal household lifestyle brand could weaken the specificity that made Vans valuable. Growth therefore needed to extend the brand without turning it into a generic footwear company.</w:t>
      </w:r>
    </w:p>
    <w:p>
      <w:pPr>
        <w:widowControl/>
        <w:spacing w:before="0" w:after="160" w:line="276" w:lineRule="auto"/>
      </w:pPr>
      <w:r>
        <w:rPr>
          <w:rFonts w:ascii="Calibri" w:hAnsi="Calibri"/>
          <w:color w:val="202124"/>
          <w:sz w:val="21"/>
        </w:rPr>
        <w:t>The 2021 external environment was still shaped by COVID-19 and disrupted store traffic, but Vans had a young, digitally connected customer base and a strong e-commerce presence. The original evidence also showed substantial international growth: the brand had expanded from approximately 148 stores and $360 million in revenue in 2004 to roughly 670 stores and $3 billion in revenue by 2018. Europe and Asia offered continued opportunity, but uneven emerging-market penetration, counterfeit products, local pricing, and cultural differences complicated global expansion.</w:t>
      </w:r>
    </w:p>
    <w:p>
      <w:pPr>
        <w:widowControl/>
        <w:spacing w:before="0" w:after="160" w:line="276" w:lineRule="auto"/>
      </w:pPr>
      <w:r>
        <w:rPr>
          <w:rFonts w:ascii="Calibri" w:hAnsi="Calibri"/>
          <w:color w:val="202124"/>
          <w:sz w:val="21"/>
        </w:rPr>
        <w:t>Competition came from Nike, Converse, Adidas, Puma, and New Balance, all of which could reach similar consumers with broader portfolios and greater financial scale. Nike SB, Converse high-tops, Puma Classics, and Adidas lifestyle footwear overlapped with parts of Vans’ market. Vans’ strongest defense was not breadth; it was the combination of cultural authenticity, community participation, consistent products, collaborations, and price accessibility.</w:t>
      </w:r>
    </w:p>
    <w:p>
      <w:pPr>
        <w:pStyle w:val="Heading2"/>
        <w:spacing w:before="200" w:after="100"/>
      </w:pPr>
      <w:r>
        <w:rPr>
          <w:rFonts w:ascii="Calibri" w:hAnsi="Calibri"/>
          <w:b/>
          <w:color w:val="941126"/>
          <w:sz w:val="26"/>
        </w:rPr>
        <w:t>SWOT synthesis</w:t>
      </w:r>
    </w:p>
    <w:p>
      <w:pPr>
        <w:widowControl/>
        <w:spacing w:before="0" w:after="160" w:line="276" w:lineRule="auto"/>
      </w:pPr>
      <w:r>
        <w:rPr>
          <w:rFonts w:ascii="Calibri" w:hAnsi="Calibri"/>
          <w:color w:val="202124"/>
          <w:sz w:val="21"/>
        </w:rPr>
        <w:t>Strengths included brand loyalty, action-sports credibility, recognizable products, accessible pricing, collaborations, global distribution, and strong digital engagement. Weaknesses included narrower category reach, greater exposure to youth-fashion changes, difficulty repositioning broadly, and less diversification than major competitors. Opportunities came from fragmented sport subcultures, international streetwear interest, e-commerce, new Olympic and outdoor activities, and possible collaboration across VF Corporation’s portfolio. Threats included large competitors, counterfeiting, post-pandemic uncertainty, and the risk that an undisciplined expansion would alienate core customers without winning a credible new audience.</w:t>
      </w:r>
    </w:p>
    <w:p>
      <w:pPr>
        <w:pStyle w:val="Heading1"/>
        <w:spacing w:before="200"/>
        <w:pBdr>
          <w:bottom w:val="single" w:sz="6" w:space="3" w:color="E2E5E9"/>
        </w:pBdr>
      </w:pPr>
      <w:r>
        <w:rPr>
          <w:rFonts w:ascii="Calibri" w:hAnsi="Calibri"/>
          <w:b/>
          <w:color w:val="941126"/>
          <w:sz w:val="34"/>
        </w:rPr>
        <w:t>B  Marketing objectives</w:t>
      </w:r>
    </w:p>
    <w:p>
      <w:pPr>
        <w:spacing w:before="0" w:after="200"/>
      </w:pPr>
      <w:r>
        <w:rPr>
          <w:rFonts w:ascii="Calibri" w:hAnsi="Calibri"/>
          <w:i/>
          <w:color w:val="5F6368"/>
          <w:sz w:val="20"/>
        </w:rPr>
        <w:t>Protect the source of loyalty while creating controlled paths into adjacent categories.</w:t>
      </w:r>
    </w:p>
    <w:p>
      <w:pPr>
        <w:widowControl/>
        <w:spacing w:before="0" w:after="160" w:line="276" w:lineRule="auto"/>
      </w:pPr>
      <w:r>
        <w:rPr>
          <w:rFonts w:ascii="Calibri" w:hAnsi="Calibri"/>
          <w:color w:val="202124"/>
          <w:sz w:val="21"/>
        </w:rPr>
        <w:t>The first objective was to maintain awareness and loyalty by continuing to participate in the communities that gave the brand meaning. Programs such as the Vans Warped Tour, skate and surf events, skatepark development, athlete relationships, collaborations, and conversational social media were valuable because customers experienced Vans as a participant in their culture rather than as an outside company purchasing attention. The original research cited a combined social following of more than 20 million, giving the company a strong channel for customer interaction, user-generated content, and product discovery.</w:t>
      </w:r>
    </w:p>
    <w:p>
      <w:pPr>
        <w:widowControl/>
        <w:spacing w:before="0" w:after="160" w:line="276" w:lineRule="auto"/>
      </w:pPr>
      <w:r>
        <w:rPr>
          <w:rFonts w:ascii="Calibri" w:hAnsi="Calibri"/>
          <w:color w:val="202124"/>
          <w:sz w:val="21"/>
        </w:rPr>
        <w:t>The second objective was to preserve authenticity while expanding relevance. As Vans became more mainstream, some core consumers could view it as moving away from its rebellious and nonconforming roots, even as mainstream customers sought a credible connection to that culture. The third objective was therefore controlled expansion: enter categories where product features, consumer behavior, or community values created a believable advantage, and reject categories that required Vans to abandon the consistency and specificity responsible for its loyalty.</w:t>
      </w:r>
    </w:p>
    <w:p>
      <w:pPr>
        <w:pStyle w:val="Heading1"/>
        <w:spacing w:before="200"/>
        <w:pBdr>
          <w:bottom w:val="single" w:sz="6" w:space="3" w:color="E2E5E9"/>
        </w:pBdr>
      </w:pPr>
      <w:r>
        <w:rPr>
          <w:rFonts w:ascii="Calibri" w:hAnsi="Calibri"/>
          <w:b/>
          <w:color w:val="941126"/>
          <w:sz w:val="34"/>
        </w:rPr>
        <w:t>C  Target markets and marketing strategy</w:t>
      </w:r>
    </w:p>
    <w:p>
      <w:pPr>
        <w:spacing w:before="0" w:after="200"/>
      </w:pPr>
      <w:r>
        <w:rPr>
          <w:rFonts w:ascii="Calibri" w:hAnsi="Calibri"/>
          <w:i/>
          <w:color w:val="5F6368"/>
          <w:sz w:val="20"/>
        </w:rPr>
        <w:t>Customer segments, positioning, and the product, pricing, distribution, and promotional choices used to reach them.</w:t>
      </w:r>
    </w:p>
    <w:p>
      <w:pPr>
        <w:pStyle w:val="Heading2"/>
        <w:spacing w:before="200" w:after="100"/>
      </w:pPr>
      <w:r>
        <w:rPr>
          <w:rFonts w:ascii="Calibri" w:hAnsi="Calibri"/>
          <w:b/>
          <w:color w:val="941126"/>
          <w:sz w:val="26"/>
        </w:rPr>
        <w:t>Target customers and positioning</w:t>
      </w:r>
    </w:p>
    <w:p>
      <w:pPr>
        <w:widowControl/>
        <w:spacing w:before="0" w:after="160" w:line="276" w:lineRule="auto"/>
      </w:pPr>
      <w:r>
        <w:rPr>
          <w:rFonts w:ascii="Calibri" w:hAnsi="Calibri"/>
          <w:color w:val="202124"/>
          <w:sz w:val="21"/>
        </w:rPr>
        <w:t>The plan identified three established customer groups. The first consisted primarily of consumers roughly 10 to 30 years old who participated in or followed skateboarding, BMX, surfing, snowboarding, and related cultures. They valued grip, durability, identity, and recognition inside the community. The second consisted of high school and college-age consumers seeking casual, fashionable, and relatively affordable footwear. Retro styling, collaborations, social relevance, and versatility mattered more to them than direct participation in action sports.</w:t>
      </w:r>
    </w:p>
    <w:p>
      <w:pPr>
        <w:widowControl/>
        <w:spacing w:before="0" w:after="160" w:line="276" w:lineRule="auto"/>
      </w:pPr>
      <w:r>
        <w:rPr>
          <w:rFonts w:ascii="Calibri" w:hAnsi="Calibri"/>
          <w:color w:val="202124"/>
          <w:sz w:val="21"/>
        </w:rPr>
        <w:t>The third group consisted of older loyalists who continued buying Vans for comfort, consistency, nostalgia, and personal identity. Their visible loyalty helped validate the brand for friends, family members, and younger consumers, creating a possible bridge toward outdoor and family-lifestyle products. The recommended positioning was inclusive but specific: accessible, durable footwear and apparel rooted in California action-sports culture, creativity, and self-expression. Vans could welcome a broad audience without pretending to be the right brand for every market.</w:t>
      </w:r>
    </w:p>
    <w:p>
      <w:pPr>
        <w:pStyle w:val="Heading2"/>
        <w:spacing w:before="200" w:after="100"/>
      </w:pPr>
      <w:r>
        <w:rPr>
          <w:rFonts w:ascii="Calibri" w:hAnsi="Calibri"/>
          <w:b/>
          <w:color w:val="941126"/>
          <w:sz w:val="26"/>
        </w:rPr>
        <w:t>Product and pricing</w:t>
      </w:r>
    </w:p>
    <w:p>
      <w:pPr>
        <w:widowControl/>
        <w:spacing w:before="0" w:after="160" w:line="276" w:lineRule="auto"/>
      </w:pPr>
      <w:r>
        <w:rPr>
          <w:rFonts w:ascii="Calibri" w:hAnsi="Calibri"/>
          <w:color w:val="202124"/>
          <w:sz w:val="21"/>
        </w:rPr>
        <w:t>Product strategy began with consistency. Vans had built a multibillion-dollar business by preserving recognizable silhouettes across generations, so the company should protect core styles while continuing to interpret retro athletic and casual trends. Brand history - California origins, skateboarding, surfing, music, and creative communities - should remain visible in product storytelling. New products should feel related to those roots, even when designed for a different use case.</w:t>
      </w:r>
    </w:p>
    <w:p>
      <w:pPr>
        <w:widowControl/>
        <w:spacing w:before="0" w:after="160" w:line="276" w:lineRule="auto"/>
      </w:pPr>
      <w:r>
        <w:rPr>
          <w:rFonts w:ascii="Calibri" w:hAnsi="Calibri"/>
          <w:color w:val="202124"/>
          <w:sz w:val="21"/>
        </w:rPr>
        <w:t>Collaborations offered freshness without destabilizing the core line. Widely available partnerships could support volume, while scarce collaborations with labels such as Supreme or Anti Social Social Club could justify premium pricing. The original plan described many core shoes in an approximate $50 to $80 range, which helped keep the brand accessible to students, young consumers, and participants who might wear through shoes frequently. Stable core pricing combined with selective prestige pricing allowed Vans to preserve participation while capturing additional willingness to pay when scarcity and cultural relevance supported it.</w:t>
      </w:r>
    </w:p>
    <w:p>
      <w:pPr>
        <w:pStyle w:val="Heading2"/>
        <w:spacing w:before="200" w:after="100"/>
      </w:pPr>
      <w:r>
        <w:rPr>
          <w:rFonts w:ascii="Calibri" w:hAnsi="Calibri"/>
          <w:b/>
          <w:color w:val="941126"/>
          <w:sz w:val="26"/>
        </w:rPr>
        <w:t>Distribution and promotion</w:t>
      </w:r>
    </w:p>
    <w:p>
      <w:pPr>
        <w:widowControl/>
        <w:spacing w:before="0" w:after="160" w:line="276" w:lineRule="auto"/>
      </w:pPr>
      <w:r>
        <w:rPr>
          <w:rFonts w:ascii="Calibri" w:hAnsi="Calibri"/>
          <w:color w:val="202124"/>
          <w:sz w:val="21"/>
        </w:rPr>
        <w:t>Distribution combined Vans stores, e-commerce, specialty retailers such as Zumiez, larger footwear retailers such as Foot Locker, and independent accounts. This model gave Vans direct control over part of the experience while preserving access through channels already used by target customers. International growth should focus on markets where action sports, streetwear, and creative youth culture were visible, while accounting for local pricing, channel partners, and counterfeit risk. The paper also proposed scannable product verification to help customers confirm authenticity and protect quality perception.</w:t>
      </w:r>
    </w:p>
    <w:p>
      <w:pPr>
        <w:widowControl/>
        <w:spacing w:before="0" w:after="160" w:line="276" w:lineRule="auto"/>
      </w:pPr>
      <w:r>
        <w:rPr>
          <w:rFonts w:ascii="Calibri" w:hAnsi="Calibri"/>
          <w:color w:val="202124"/>
          <w:sz w:val="21"/>
        </w:rPr>
        <w:t>Promotion was strongest when product exposure was embedded in a cultural experience. Warped Tour, the X Games, Vans World Cup of Surfing, athlete sponsorships, limited releases, and local community events reinforced the reason customers cared about the brand. Digital media could extend the reach of local activations and turn athlete stories, instruction, and community participation into global content. Athlete partnerships needed to involve credible product use and community trust rather than celebrity recognition alone.</w:t>
      </w:r>
    </w:p>
    <w:p>
      <w:pPr>
        <w:pStyle w:val="Heading1"/>
        <w:spacing w:before="200"/>
        <w:pBdr>
          <w:bottom w:val="single" w:sz="6" w:space="3" w:color="E2E5E9"/>
        </w:pBdr>
      </w:pPr>
      <w:r>
        <w:rPr>
          <w:rFonts w:ascii="Calibri" w:hAnsi="Calibri"/>
          <w:b/>
          <w:color w:val="941126"/>
          <w:sz w:val="34"/>
        </w:rPr>
        <w:t>D  Implementation and control</w:t>
      </w:r>
    </w:p>
    <w:p>
      <w:pPr>
        <w:spacing w:before="0" w:after="200"/>
      </w:pPr>
      <w:r>
        <w:rPr>
          <w:rFonts w:ascii="Calibri" w:hAnsi="Calibri"/>
          <w:i/>
          <w:color w:val="5F6368"/>
          <w:sz w:val="20"/>
        </w:rPr>
        <w:t>A sequenced expansion plan that tests adjacent markets before committing major capital.</w:t>
      </w:r>
    </w:p>
    <w:p>
      <w:pPr>
        <w:widowControl/>
        <w:spacing w:before="0" w:after="160" w:line="276" w:lineRule="auto"/>
      </w:pPr>
      <w:r>
        <w:rPr>
          <w:rFonts w:ascii="Calibri" w:hAnsi="Calibri"/>
          <w:color w:val="202124"/>
          <w:sz w:val="21"/>
        </w:rPr>
        <w:t>Vans had historically grown by concentrating on smaller sport and cultural communities rather than trying to dominate every mainstream category. Skateboarding provided the model: support participants, design around their needs, become part of the culture, and allow credibility to generate broader interest. Surfing and BMX demonstrated that the model could extend. The proposed action plan applied the same logic to lifting, indoor soccer, rock climbing, and hiking, but treated them as a sequence rather than four simultaneous product launches.</w:t>
      </w:r>
    </w:p>
    <w:p>
      <w:pPr>
        <w:pStyle w:val="Heading2"/>
        <w:spacing w:before="200" w:after="100"/>
      </w:pPr>
      <w:r>
        <w:rPr>
          <w:rFonts w:ascii="Calibri" w:hAnsi="Calibri"/>
          <w:b/>
          <w:color w:val="941126"/>
          <w:sz w:val="26"/>
        </w:rPr>
        <w:t>Adjacent-market recommendations</w:t>
      </w:r>
    </w:p>
    <w:p>
      <w:pPr>
        <w:widowControl/>
        <w:spacing w:before="0" w:after="160" w:line="276" w:lineRule="auto"/>
      </w:pPr>
      <w:r>
        <w:rPr>
          <w:rFonts w:ascii="Calibri" w:hAnsi="Calibri"/>
          <w:color w:val="202124"/>
          <w:sz w:val="21"/>
        </w:rPr>
        <w:t>Lifting and gym use offered the fastest validation opportunity because some consumers already wore flat shoes such as Vans and Converse for certain exercises. Vans could first explain the relevant features of selected existing products, work with credible trainers, and measure demand before developing a specialized shoe. This reduced cost while testing whether the observed behavior represented a meaningful market.</w:t>
      </w:r>
    </w:p>
    <w:p>
      <w:pPr>
        <w:widowControl/>
        <w:spacing w:before="0" w:after="160" w:line="276" w:lineRule="auto"/>
      </w:pPr>
      <w:r>
        <w:rPr>
          <w:rFonts w:ascii="Calibri" w:hAnsi="Calibri"/>
          <w:color w:val="202124"/>
          <w:sz w:val="21"/>
        </w:rPr>
        <w:t>Indoor soccer was the strongest new-product concept. Vans’ emphasis on grip, low-profile styling, and casual wear created a plausible connection, while a dedicated indoor shoe would let the company enter a controlled segment of a global sport. Adidas and the Samba provided a strong competitive benchmark, so Vans would need a limited product, credible athlete or league partnership, and content connecting street soccer with the brand’s cultural identity.</w:t>
      </w:r>
    </w:p>
    <w:p>
      <w:pPr>
        <w:widowControl/>
        <w:spacing w:before="0" w:after="160" w:line="276" w:lineRule="auto"/>
      </w:pPr>
      <w:r>
        <w:rPr>
          <w:rFonts w:ascii="Calibri" w:hAnsi="Calibri"/>
          <w:color w:val="202124"/>
          <w:sz w:val="21"/>
        </w:rPr>
        <w:t>Rock climbing offered cultural overlap through outdoor activity, individual expression, physical intensity, and a strong participant community. However, technical climbing footwear differed substantially from Vans’ core products. The recommended first step was sponsorship, events, athlete research, and community learning, with apparel or lifestyle products offering a possible entry before specialized footwear.</w:t>
      </w:r>
    </w:p>
    <w:p>
      <w:pPr>
        <w:widowControl/>
        <w:spacing w:before="0" w:after="160" w:line="276" w:lineRule="auto"/>
      </w:pPr>
      <w:r>
        <w:rPr>
          <w:rFonts w:ascii="Calibri" w:hAnsi="Calibri"/>
          <w:color w:val="202124"/>
          <w:sz w:val="21"/>
        </w:rPr>
        <w:t>Hiking was a longer-term opportunity connected to the maturation of Vans’ loyal customers. As their interests shifted toward outdoor activity, travel, comfort, and family experiences, the brand could potentially grow with them. VF Corporation’s ownership of Timberland and The North Face created opportunities to share footwear and apparel expertise. Collaborations or co-developed capsules should come before a permanent Vans hiking line so the company could test customer acceptance and protect against brand dilution.</w:t>
      </w:r>
    </w:p>
    <w:p>
      <w:pPr>
        <w:pStyle w:val="Heading2"/>
        <w:spacing w:before="200" w:after="100"/>
      </w:pPr>
      <w:r>
        <w:rPr>
          <w:rFonts w:ascii="Calibri" w:hAnsi="Calibri"/>
          <w:b/>
          <w:color w:val="941126"/>
          <w:sz w:val="26"/>
        </w:rPr>
        <w:t>Community, timing, and investment</w:t>
      </w:r>
    </w:p>
    <w:p>
      <w:pPr>
        <w:widowControl/>
        <w:spacing w:before="0" w:after="160" w:line="276" w:lineRule="auto"/>
      </w:pPr>
      <w:r>
        <w:rPr>
          <w:rFonts w:ascii="Calibri" w:hAnsi="Calibri"/>
          <w:color w:val="202124"/>
          <w:sz w:val="21"/>
        </w:rPr>
        <w:t>Expansion should preserve Vans’ reciprocal relationship with its communities. The original research highlighted skatepark development, charitable support, events for children with autism, and programs supporting youth creativity. Any new niche should receive meaningful participation before Vans expected sales: a charitable indoor-soccer event, credible lifting education, support for collegiate climbing, or partnerships that improved access. The proposed 'Vans Family' campaign could eventually connect skating, climbing, and hiking across generations, but only after successful products and communities made that broader story believable.</w:t>
      </w:r>
    </w:p>
    <w:p>
      <w:pPr>
        <w:widowControl/>
        <w:spacing w:before="0" w:after="160" w:line="276" w:lineRule="auto"/>
      </w:pPr>
      <w:r>
        <w:rPr>
          <w:rFonts w:ascii="Calibri" w:hAnsi="Calibri"/>
          <w:color w:val="202124"/>
          <w:sz w:val="21"/>
        </w:rPr>
        <w:t>Within the first five years, Vans should prioritize lifting validation, an indoor-soccer pilot, and climbing research. Hiking and more technical outdoor footwear belonged to a longer horizon of approximately ten years, with VF collaborations providing intermediate learning. The original paper proposed directing up to 10 percent of annual Vans profit toward expansion; this should be treated as a directional innovation envelope rather than a final financial forecast. Funding should be released in stages as each concept met research, product, brand, and commercial thresholds.</w:t>
      </w:r>
    </w:p>
    <w:p>
      <w:pPr>
        <w:pStyle w:val="Heading2"/>
        <w:spacing w:before="200" w:after="100"/>
      </w:pPr>
      <w:r>
        <w:rPr>
          <w:rFonts w:ascii="Calibri" w:hAnsi="Calibri"/>
          <w:b/>
          <w:color w:val="941126"/>
          <w:sz w:val="26"/>
        </w:rPr>
        <w:t>Measurement and control</w:t>
      </w:r>
    </w:p>
    <w:p>
      <w:pPr>
        <w:widowControl/>
        <w:spacing w:before="0" w:after="160" w:line="276" w:lineRule="auto"/>
      </w:pPr>
      <w:r>
        <w:rPr>
          <w:rFonts w:ascii="Calibri" w:hAnsi="Calibri"/>
          <w:color w:val="202124"/>
          <w:sz w:val="21"/>
        </w:rPr>
        <w:t>Each concept should be reviewed quarterly using sales, sell-through, gross margin, repeat purchase, return rates, channel performance, customer feedback, brand perception, event participation, and community sentiment. The original control rule called for stopping investment in a line that continued losing money after one year or failed to approach break-even within two years. A final decision should also consider why the product underperformed and whether it worked better as a limited offering. Annual portfolio reviews should shift funding toward the concepts with the strongest combination of customer demand, margin potential, cultural fit, and scalable execution.</w:t>
      </w:r>
    </w:p>
    <w:p>
      <w:pPr>
        <w:pStyle w:val="Heading1"/>
        <w:spacing w:before="200"/>
        <w:pBdr>
          <w:bottom w:val="single" w:sz="6" w:space="3" w:color="E2E5E9"/>
        </w:pBdr>
      </w:pPr>
      <w:r>
        <w:rPr>
          <w:rFonts w:ascii="Calibri" w:hAnsi="Calibri"/>
          <w:b/>
          <w:color w:val="941126"/>
          <w:sz w:val="34"/>
        </w:rPr>
        <w:t>E  Conclusion</w:t>
      </w:r>
    </w:p>
    <w:p>
      <w:pPr>
        <w:widowControl/>
        <w:spacing w:before="0" w:after="160" w:line="276" w:lineRule="auto"/>
      </w:pPr>
      <w:r>
        <w:rPr>
          <w:rFonts w:ascii="Calibri" w:hAnsi="Calibri"/>
          <w:color w:val="202124"/>
          <w:sz w:val="21"/>
        </w:rPr>
        <w:t>Vans’ opportunity was not to become indistinguishable from a diversified sportswear company. Its advantage came from understanding subcultures, supporting communities, maintaining recognizable products, and offering an accessible form of identity and self-expression. Lifting offered the fastest test, indoor soccer the strongest new-product concept, rock climbing a culturally adjacent learning opportunity, and hiking a longer-term lifestyle bridge supported by VF Corporation capabilities.</w:t>
      </w:r>
    </w:p>
    <w:p>
      <w:pPr>
        <w:widowControl/>
        <w:spacing w:before="0" w:after="160" w:line="276" w:lineRule="auto"/>
      </w:pPr>
      <w:r>
        <w:rPr>
          <w:rFonts w:ascii="Calibri" w:hAnsi="Calibri"/>
          <w:color w:val="202124"/>
          <w:sz w:val="21"/>
        </w:rPr>
        <w:t>The central recommendation was disciplined adjacency: identify communities whose needs genuinely fit the brand, contribute to those communities, validate demand, build appropriate products, and scale only when customer and financial evidence aligned. That approach protected the loyalty Vans had already earned while creating a structured path toward growth.</w:t>
      </w:r>
    </w:p>
    <w:p>
      <w:r>
        <w:br w:type="page"/>
      </w:r>
    </w:p>
    <w:p>
      <w:pPr>
        <w:pStyle w:val="Heading1"/>
        <w:spacing w:before="40"/>
        <w:pBdr>
          <w:bottom w:val="single" w:sz="6" w:space="3" w:color="E2E5E9"/>
        </w:pBdr>
      </w:pPr>
      <w:r>
        <w:rPr>
          <w:rFonts w:ascii="Calibri" w:hAnsi="Calibri"/>
          <w:b/>
          <w:color w:val="941126"/>
          <w:sz w:val="32"/>
        </w:rPr>
        <w:t>F  Original 2021 source appendix</w:t>
      </w:r>
    </w:p>
    <w:p>
      <w:pPr>
        <w:spacing w:after="180"/>
      </w:pPr>
      <w:r>
        <w:rPr>
          <w:rFonts w:ascii="Calibri" w:hAnsi="Calibri"/>
          <w:i/>
          <w:color w:val="5F6368"/>
          <w:sz w:val="20"/>
        </w:rPr>
        <w:t>The sources below are retained from the course paper to document the historical research base.</w:t>
      </w:r>
    </w:p>
    <w:p>
      <w:pPr>
        <w:spacing w:after="120" w:line="252" w:lineRule="auto"/>
        <w:ind w:left="403" w:hanging="403"/>
      </w:pPr>
      <w:r>
        <w:rPr>
          <w:rFonts w:ascii="Calibri" w:hAnsi="Calibri"/>
          <w:b/>
          <w:color w:val="941126"/>
          <w:sz w:val="18"/>
        </w:rPr>
        <w:t xml:space="preserve">1. </w:t>
      </w:r>
      <w:r>
        <w:rPr>
          <w:rFonts w:ascii="Calibri" w:hAnsi="Calibri"/>
          <w:color w:val="202124"/>
          <w:sz w:val="18"/>
        </w:rPr>
        <w:t>Bhasin, H. (2020, February 3). SWOT analysis of Vans. Marketing91. https://www.marketing91.com/swot-analysis-of-vans/</w:t>
      </w:r>
    </w:p>
    <w:p>
      <w:pPr>
        <w:spacing w:after="120" w:line="252" w:lineRule="auto"/>
        <w:ind w:left="403" w:hanging="403"/>
      </w:pPr>
      <w:r>
        <w:rPr>
          <w:rFonts w:ascii="Calibri" w:hAnsi="Calibri"/>
          <w:b/>
          <w:color w:val="941126"/>
          <w:sz w:val="18"/>
        </w:rPr>
        <w:t xml:space="preserve">2. </w:t>
      </w:r>
      <w:r>
        <w:rPr>
          <w:rFonts w:ascii="Calibri" w:hAnsi="Calibri"/>
          <w:color w:val="202124"/>
          <w:sz w:val="18"/>
        </w:rPr>
        <w:t>Bhasin, H., Patel, J., &amp; Paquet, D. (2020, May 15). Marketing mix of Vans retail. Marketing91. https://www.marketing91.com/marketing-mix-of-vans-retail/</w:t>
      </w:r>
    </w:p>
    <w:p>
      <w:pPr>
        <w:spacing w:after="120" w:line="252" w:lineRule="auto"/>
        <w:ind w:left="403" w:hanging="403"/>
      </w:pPr>
      <w:r>
        <w:rPr>
          <w:rFonts w:ascii="Calibri" w:hAnsi="Calibri"/>
          <w:b/>
          <w:color w:val="941126"/>
          <w:sz w:val="18"/>
        </w:rPr>
        <w:t xml:space="preserve">3. </w:t>
      </w:r>
      <w:r>
        <w:rPr>
          <w:rFonts w:ascii="Calibri" w:hAnsi="Calibri"/>
          <w:color w:val="202124"/>
          <w:sz w:val="18"/>
        </w:rPr>
        <w:t>Market Beyond. (2019, March 4). Fashion sneakers market share. https://themarketbeyond.com/blog/fashion-sneakers-market-share/</w:t>
      </w:r>
    </w:p>
    <w:p>
      <w:pPr>
        <w:spacing w:after="120" w:line="252" w:lineRule="auto"/>
        <w:ind w:left="403" w:hanging="403"/>
      </w:pPr>
      <w:r>
        <w:rPr>
          <w:rFonts w:ascii="Calibri" w:hAnsi="Calibri"/>
          <w:b/>
          <w:color w:val="941126"/>
          <w:sz w:val="18"/>
        </w:rPr>
        <w:t xml:space="preserve">4. </w:t>
      </w:r>
      <w:r>
        <w:rPr>
          <w:rFonts w:ascii="Calibri" w:hAnsi="Calibri"/>
          <w:color w:val="202124"/>
          <w:sz w:val="18"/>
        </w:rPr>
        <w:t>Mainwaring, S. (2020, September 24). Purpose at work: How Vans unlocks growth and impact through a genuine commitment to community. Forbes.</w:t>
      </w:r>
    </w:p>
    <w:p>
      <w:pPr>
        <w:spacing w:after="120" w:line="252" w:lineRule="auto"/>
        <w:ind w:left="403" w:hanging="403"/>
      </w:pPr>
      <w:r>
        <w:rPr>
          <w:rFonts w:ascii="Calibri" w:hAnsi="Calibri"/>
          <w:b/>
          <w:color w:val="941126"/>
          <w:sz w:val="18"/>
        </w:rPr>
        <w:t xml:space="preserve">5. </w:t>
      </w:r>
      <w:r>
        <w:rPr>
          <w:rFonts w:ascii="Calibri" w:hAnsi="Calibri"/>
          <w:color w:val="202124"/>
          <w:sz w:val="18"/>
        </w:rPr>
        <w:t>Mertes, A. (2021, June 25). Off the Wall branding: Vans represents West Coast skate and surf. Quality Logo Products.</w:t>
      </w:r>
    </w:p>
    <w:p>
      <w:pPr>
        <w:spacing w:after="120" w:line="252" w:lineRule="auto"/>
        <w:ind w:left="403" w:hanging="403"/>
      </w:pPr>
      <w:r>
        <w:rPr>
          <w:rFonts w:ascii="Calibri" w:hAnsi="Calibri"/>
          <w:b/>
          <w:color w:val="941126"/>
          <w:sz w:val="18"/>
        </w:rPr>
        <w:t xml:space="preserve">6. </w:t>
      </w:r>
      <w:r>
        <w:rPr>
          <w:rFonts w:ascii="Calibri" w:hAnsi="Calibri"/>
          <w:color w:val="202124"/>
          <w:sz w:val="18"/>
        </w:rPr>
        <w:t>Parr, S. (2020, July 11). The epic history of Vans shoes. The Hustle.</w:t>
      </w:r>
    </w:p>
    <w:p>
      <w:pPr>
        <w:spacing w:after="120" w:line="252" w:lineRule="auto"/>
        <w:ind w:left="403" w:hanging="403"/>
      </w:pPr>
      <w:r>
        <w:rPr>
          <w:rFonts w:ascii="Calibri" w:hAnsi="Calibri"/>
          <w:b/>
          <w:color w:val="941126"/>
          <w:sz w:val="18"/>
        </w:rPr>
        <w:t xml:space="preserve">7. </w:t>
      </w:r>
      <w:r>
        <w:rPr>
          <w:rFonts w:ascii="Calibri" w:hAnsi="Calibri"/>
          <w:color w:val="202124"/>
          <w:sz w:val="18"/>
        </w:rPr>
        <w:t>Rupersburg, N. Why Vans has such a loyal following after all these years. RetailSpaces.</w:t>
      </w:r>
    </w:p>
    <w:p>
      <w:pPr>
        <w:spacing w:after="120" w:line="252" w:lineRule="auto"/>
        <w:ind w:left="403" w:hanging="403"/>
      </w:pPr>
      <w:r>
        <w:rPr>
          <w:rFonts w:ascii="Calibri" w:hAnsi="Calibri"/>
          <w:b/>
          <w:color w:val="941126"/>
          <w:sz w:val="18"/>
        </w:rPr>
        <w:t xml:space="preserve">8. </w:t>
      </w:r>
      <w:r>
        <w:rPr>
          <w:rFonts w:ascii="Calibri" w:hAnsi="Calibri"/>
          <w:color w:val="202124"/>
          <w:sz w:val="18"/>
        </w:rPr>
        <w:t>MBA Skool. (2018, December 9). Vans marketing strategy and marketing mix (4Ps).</w:t>
      </w:r>
    </w:p>
    <w:p>
      <w:pPr>
        <w:spacing w:after="120" w:line="252" w:lineRule="auto"/>
        <w:ind w:left="403" w:hanging="403"/>
      </w:pPr>
      <w:r>
        <w:rPr>
          <w:rFonts w:ascii="Calibri" w:hAnsi="Calibri"/>
          <w:b/>
          <w:color w:val="941126"/>
          <w:sz w:val="18"/>
        </w:rPr>
        <w:t xml:space="preserve">9. </w:t>
      </w:r>
      <w:r>
        <w:rPr>
          <w:rFonts w:ascii="Calibri" w:hAnsi="Calibri"/>
          <w:color w:val="202124"/>
          <w:sz w:val="18"/>
        </w:rPr>
        <w:t>Tyler, J. (2018, October 22). We went shopping at Vans and saw why it’s suddenly wildly popular with teens. Business Insider.</w:t>
      </w:r>
    </w:p>
    <w:p>
      <w:pPr>
        <w:spacing w:after="120" w:line="252" w:lineRule="auto"/>
        <w:ind w:left="403" w:hanging="403"/>
      </w:pPr>
      <w:r>
        <w:rPr>
          <w:rFonts w:ascii="Calibri" w:hAnsi="Calibri"/>
          <w:b/>
          <w:color w:val="941126"/>
          <w:sz w:val="18"/>
        </w:rPr>
        <w:t xml:space="preserve">10. </w:t>
      </w:r>
      <w:r>
        <w:rPr>
          <w:rFonts w:ascii="Calibri" w:hAnsi="Calibri"/>
          <w:color w:val="202124"/>
          <w:sz w:val="18"/>
        </w:rPr>
        <w:t>Vans. Sustainability: Eco-friendly clothing, charities &amp; more. Accessed December 2021.</w:t>
      </w:r>
    </w:p>
    <w:p>
      <w:pPr>
        <w:spacing w:after="120" w:line="252" w:lineRule="auto"/>
        <w:ind w:left="403" w:hanging="403"/>
      </w:pPr>
      <w:r>
        <w:rPr>
          <w:rFonts w:ascii="Calibri" w:hAnsi="Calibri"/>
          <w:b/>
          <w:color w:val="941126"/>
          <w:sz w:val="18"/>
        </w:rPr>
        <w:t xml:space="preserve">11. </w:t>
      </w:r>
      <w:r>
        <w:rPr>
          <w:rFonts w:ascii="Calibri" w:hAnsi="Calibri"/>
          <w:color w:val="202124"/>
          <w:sz w:val="18"/>
        </w:rPr>
        <w:t>Clear Strategy. (2019, June 20). Vans. https://clearstrategy.com/work/vans/</w:t>
      </w:r>
    </w:p>
    <w:p>
      <w:pPr>
        <w:spacing w:after="120" w:line="252" w:lineRule="auto"/>
        <w:ind w:left="403" w:hanging="403"/>
      </w:pPr>
      <w:r>
        <w:rPr>
          <w:rFonts w:ascii="Calibri" w:hAnsi="Calibri"/>
          <w:b/>
          <w:color w:val="941126"/>
          <w:sz w:val="18"/>
        </w:rPr>
        <w:t xml:space="preserve">12. </w:t>
      </w:r>
      <w:r>
        <w:rPr>
          <w:rFonts w:ascii="Calibri" w:hAnsi="Calibri"/>
          <w:color w:val="202124"/>
          <w:sz w:val="18"/>
        </w:rPr>
        <w:t>Encyclopedia.com. Vans Inc. Accessed December 2021.</w:t>
      </w:r>
    </w:p>
    <w:p>
      <w:pPr>
        <w:spacing w:after="120" w:line="252" w:lineRule="auto"/>
        <w:ind w:left="403" w:hanging="403"/>
      </w:pPr>
      <w:r>
        <w:rPr>
          <w:rFonts w:ascii="Calibri" w:hAnsi="Calibri"/>
          <w:b/>
          <w:color w:val="941126"/>
          <w:sz w:val="18"/>
        </w:rPr>
        <w:t xml:space="preserve">13. </w:t>
      </w:r>
      <w:r>
        <w:rPr>
          <w:rFonts w:ascii="Calibri" w:hAnsi="Calibri"/>
          <w:color w:val="202124"/>
          <w:sz w:val="18"/>
        </w:rPr>
        <w:t>Legit.ng. Most expensive Vans. Accessed December 2021.</w:t>
      </w:r>
    </w:p>
    <w:p>
      <w:pPr>
        <w:spacing w:after="120" w:line="252" w:lineRule="auto"/>
        <w:ind w:left="403" w:hanging="403"/>
      </w:pPr>
      <w:r>
        <w:rPr>
          <w:rFonts w:ascii="Calibri" w:hAnsi="Calibri"/>
          <w:b/>
          <w:color w:val="941126"/>
          <w:sz w:val="18"/>
        </w:rPr>
        <w:t xml:space="preserve">14. </w:t>
      </w:r>
      <w:r>
        <w:rPr>
          <w:rFonts w:ascii="Calibri" w:hAnsi="Calibri"/>
          <w:color w:val="202124"/>
          <w:sz w:val="18"/>
        </w:rPr>
        <w:t>Powerful Lifting. Wearing Vans for lifting. Accessed December 2021.</w:t>
      </w:r>
    </w:p>
    <w:p>
      <w:pPr>
        <w:spacing w:after="120" w:line="252" w:lineRule="auto"/>
        <w:ind w:left="403" w:hanging="403"/>
      </w:pPr>
      <w:r>
        <w:rPr>
          <w:rFonts w:ascii="Calibri" w:hAnsi="Calibri"/>
          <w:b/>
          <w:color w:val="941126"/>
          <w:sz w:val="18"/>
        </w:rPr>
        <w:t xml:space="preserve">15. </w:t>
      </w:r>
      <w:r>
        <w:rPr>
          <w:rFonts w:ascii="Calibri" w:hAnsi="Calibri"/>
          <w:color w:val="202124"/>
          <w:sz w:val="18"/>
        </w:rPr>
        <w:t>VF Corporation. (2020). Annual Report. AnnualReports.com. https://www.annualreports.com/HostedData/AnnualReports/PDF/NYSE_VFC_2020_820091a495ea457193aeee9fb174ef89.pdf</w:t>
      </w:r>
    </w:p>
    <w:p>
      <w:pPr>
        <w:spacing w:before="80" w:after="180" w:line="259" w:lineRule="auto"/>
        <w:ind w:left="173" w:right="144"/>
        <w:shd w:fill="F3F4F6"/>
        <w:pBdr>
          <w:left w:val="single" w:sz="24" w:space="5" w:color="C41230"/>
        </w:pBdr>
      </w:pPr>
      <w:r>
        <w:rPr>
          <w:rFonts w:ascii="Calibri" w:hAnsi="Calibri"/>
          <w:b/>
          <w:color w:val="941126"/>
          <w:sz w:val="21"/>
        </w:rPr>
        <w:t xml:space="preserve">Document note: </w:t>
      </w:r>
      <w:r>
        <w:rPr>
          <w:rFonts w:ascii="Calibri" w:hAnsi="Calibri"/>
          <w:color w:val="202124"/>
          <w:sz w:val="21"/>
        </w:rPr>
        <w:t>Part I reframes the work as an executive market-intelligence brief. Part II preserves and professionally adapts the full narrative analysis. Both sections reflect the original 2021 research period.</w:t>
      </w:r>
    </w:p>
    <w:sectPr w:rsidR="00FC693F" w:rsidRPr="0006063C" w:rsidSect="00034616">
      <w:headerReference w:type="default" r:id="rId9"/>
      <w:footerReference w:type="default" r:id="rId10"/>
      <w:pgSz w:w="12240" w:h="15840"/>
      <w:pgMar w:top="1440" w:right="1440" w:bottom="1224" w:left="1440"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F6368"/>
        <w:sz w:val="17"/>
      </w:rPr>
      <w:t xml:space="preserve">Page </w:t>
    </w:r>
    <w:fldSimple w:instr="PAGE"/>
    <w:r>
      <w:rPr>
        <w:rFonts w:ascii="Calibri" w:hAnsi="Calibri"/>
        <w:color w:val="5F6368"/>
        <w:sz w:val="17"/>
      </w:rPr>
      <w:t xml:space="preserve"> of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jc w:val="left"/>
      <w:pBdr>
        <w:bottom w:val="single" w:sz="12" w:space="3" w:color="C41230"/>
      </w:pBdr>
    </w:pPr>
    <w:r>
      <w:rPr>
        <w:rFonts w:ascii="Calibri" w:hAnsi="Calibri"/>
        <w:b/>
        <w:color w:val="5F6368"/>
        <w:sz w:val="17"/>
      </w:rPr>
      <w:t>VANS MARKET EXPANSION STRATEGY</w:t>
    </w:r>
    <w:r>
      <w:rPr>
        <w:rFonts w:ascii="Calibri" w:hAnsi="Calibri"/>
        <w:color w:val="5F6368"/>
        <w:sz w:val="17"/>
      </w:rPr>
      <w:t xml:space="preserve">   |   2021 MARKET INTELLIGENCE CASE STUDY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720"/>
        </w:tabs>
        <w:ind w:left="720" w:hanging="360"/>
      </w:pPr>
    </w:lvl>
  </w:abstract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20212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941126"/>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941126"/>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20212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Vans Market Expansion Strategy - 2021 Market Intelligence Case Study</dc:title>
  <dc:subject>Portfolio case study: market intelligence, customer segmentation, and growth strategy</dc:subject>
  <dc:creator>Brian Hunt</dc:creator>
  <cp:keywords>market intelligence, competitive research, customer segmentation, marketing strategy, Vans, 2021</cp:keywords>
  <dc:description>Portfolio edition based on a 2021 undergraduate marketing plan.</dc:description>
  <cp:lastModifiedBy/>
  <cp:revision>1</cp:revision>
  <dcterms:created xsi:type="dcterms:W3CDTF">2013-12-23T23:15:00Z</dcterms:created>
  <dcterms:modified xsi:type="dcterms:W3CDTF">2013-12-23T23:15:00Z</dcterms:modified>
  <cp:category/>
</cp:coreProperties>
</file>