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黑体" w:hAnsi="黑体" w:eastAsia="黑体"/>
          <w:b/>
          <w:color w:val="183B56"/>
          <w:sz w:val="44"/>
        </w:rPr>
        <w:t>大创项目结题报告</w:t>
      </w:r>
    </w:p>
    <w:p>
      <w:pPr>
        <w:jc w:val="center"/>
      </w:pPr>
      <w:r>
        <w:rPr>
          <w:rFonts w:ascii="宋体" w:hAnsi="宋体" w:eastAsia="宋体"/>
          <w:color w:val="596B78"/>
          <w:sz w:val="20"/>
        </w:rPr>
        <w:t>草稿  ·  需按学校立项信息和结题模板复核</w:t>
      </w:r>
    </w:p>
    <w:p/>
    <w:p>
      <w:r>
        <w:rPr>
          <w:rFonts w:ascii="宋体" w:hAnsi="宋体" w:eastAsia="宋体"/>
          <w:sz w:val="21"/>
        </w:rPr>
        <w:t>立项申请表所载项目名称为“基于IPSO-SA与无人机协同的复杂山区高空输电线路路径规划研究”，计划周期为 2026 年 3 月至 2027 年 8 月。本报告以立项表、执行计划和当前 V5.0 软件及实验记录为依据；负责人、成员、指导教师、立项编号、经费与最终验收日期仍按校内记录复核。</w:t>
      </w:r>
    </w:p>
    <w:p>
      <w:pPr>
        <w:spacing w:before="100" w:after="160"/>
        <w:shd w:fill="FFF2CC"/>
      </w:pPr>
      <w:r>
        <w:rPr>
          <w:rFonts w:ascii="宋体" w:hAnsi="宋体" w:eastAsia="宋体"/>
          <w:b/>
          <w:sz w:val="20"/>
        </w:rPr>
        <w:t>重要状态：截至 2026 年 10 月 27 日，项目尚未到立项表所载的 2027 年 8 月计划完成时间。原执行计划另有“12 月项目收尾”安排，与立项表日期不一致，须核对是否存在经批准的计划变更。本文件目前只能作为阶段总结/提前结项预备稿；未经学校批准提前结项，不应作为最终验收结论提交。</w:t>
      </w:r>
    </w:p>
    <w:p>
      <w:pPr>
        <w:pStyle w:val="Heading1"/>
      </w:pPr>
      <w:r>
        <w:t>一 原计划与实际交付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原计划</w:t>
            </w:r>
          </w:p>
        </w:tc>
        <w:tc>
          <w:tcPr>
            <w:tcW w:type="dxa" w:w="3175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当前证据</w:t>
            </w:r>
          </w:p>
        </w:tc>
        <w:tc>
          <w:tcPr>
            <w:tcW w:type="dxa" w:w="3175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准确表述边界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GNN/Transformer、PPO/DQN 路径规划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有可选诊断代码；无可核验训练数据、训练记录或部署模型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不写成已完成的主规划能力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WOA/GWO/SSA、IPSO-SA 对比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主体为确定性 A*；完成若干 A* 与代价权重敏感性试验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不能称原算法组全部完成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无人机扫描与地图在线更新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本证据包无扫描—更新—重规划验收链路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其他开发组须提供可运行代码和验收记录后才能补写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线路几何贴合目标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完成 100 m 与双向 P95 事后评价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当前样例远未达到 100 m 目标</w:t>
            </w:r>
          </w:p>
        </w:tc>
      </w:tr>
      <w:tr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站点间规划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有站点任务表及接入点核验声明字段</w:t>
            </w:r>
          </w:p>
        </w:tc>
        <w:tc>
          <w:tcPr>
            <w:tcW w:type="dxa" w:w="31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实验端点未全部核实为站端接入点</w:t>
            </w:r>
          </w:p>
        </w:tc>
      </w:tr>
    </w:tbl>
    <w:p>
      <w:pPr>
        <w:spacing w:after="20"/>
      </w:pPr>
    </w:p>
    <w:p>
      <w:r>
        <w:rPr>
          <w:rFonts w:ascii="宋体" w:hAnsi="宋体" w:eastAsia="宋体"/>
        </w:rPr>
        <w:t>若学校要求按原计划逐项完成，应补齐未完成模块和证据；本报告不能替代项目范围变更审批或导师确认。</w:t>
      </w:r>
    </w:p>
    <w:p>
      <w:pPr>
        <w:pStyle w:val="Heading1"/>
      </w:pPr>
      <w:r>
        <w:t>二 软件实现与研究方法</w:t>
      </w:r>
    </w:p>
    <w:p>
      <w:r>
        <w:rPr>
          <w:rFonts w:ascii="宋体" w:hAnsi="宋体" w:eastAsia="宋体"/>
        </w:rPr>
        <w:t>当前软件包含 23 个 Python 文件、9,602 行原始源码。主流程从 DEM、可选环境因子和约束构建代价/掩膜，默认运行确定性 A*，输出候选路线、运行摘要和约束状态。历史线路几何仅在候选冻结并校验哈希后用于事后评估，不用于规划、调参或选路。人口层在下述两轮实验中关闭。</w:t>
      </w:r>
    </w:p>
    <w:p>
      <w:r>
        <w:rPr>
          <w:rFonts w:ascii="宋体" w:hAnsi="宋体" w:eastAsia="宋体"/>
        </w:rPr>
        <w:t>正式站间任务需要核实两端线路侧接入点、来源与凭证；当前程序只校验声明字段，不独立验证凭证真伪。实验端点来自历史样本线路，尚未全部核实为变电站接入点。</w:t>
      </w:r>
    </w:p>
    <w:p>
      <w:pPr>
        <w:pStyle w:val="Heading1"/>
      </w:pPr>
      <w:r>
        <w:t>三 主要实验结果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实验</w:t>
            </w:r>
          </w:p>
        </w:tc>
        <w:tc>
          <w:tcPr>
            <w:tcW w:type="dxa" w:w="2381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规模</w:t>
            </w:r>
          </w:p>
        </w:tc>
        <w:tc>
          <w:tcPr>
            <w:tcW w:type="dxa" w:w="2381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2381"/>
            <w:shd w:fill="174A6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20"/>
            </w:pPr>
            <w:r>
              <w:rPr>
                <w:rFonts w:ascii="黑体" w:hAnsi="黑体" w:eastAsia="黑体"/>
                <w:b/>
                <w:color w:val="FFFFFF"/>
                <w:sz w:val="16"/>
              </w:rPr>
              <w:t>结论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地形代价权重消融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3 案例 × 6 配置 = 18 条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P95 3.037–9.025 km；中位 5.215 km；平均 F1@100 m 1.947%；0/18 达标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调权未解决公里级偏差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转弯权重联合消融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3 案例 × 5 权重 = 15 条；12 次新增运行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P95 3.026–9.095 km；中位 5.243 km；F1@100 m 1.401%–2.222%；0/15 达标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2F6F8"/>
          </w:tcPr>
          <w:p>
            <w:pPr>
              <w:spacing w:after="0" w:line="252" w:lineRule="auto"/>
            </w:pPr>
            <w:r>
              <w:rPr>
                <w:rFonts w:ascii="宋体" w:hAnsi="宋体" w:eastAsia="宋体"/>
                <w:sz w:val="16"/>
              </w:rPr>
              <w:t>权重同时影响搜索和平滑，不能归因到单一阶段</w:t>
            </w:r>
          </w:p>
        </w:tc>
      </w:tr>
    </w:tbl>
    <w:p>
      <w:pPr>
        <w:spacing w:after="20"/>
      </w:pPr>
    </w:p>
    <w:p>
      <w:r>
        <w:rPr>
          <w:rFonts w:ascii="宋体" w:hAnsi="宋体" w:eastAsia="宋体"/>
        </w:rPr>
        <w:t>转弯权重新增的 12 次运行在 CPU 上顺序完成，累计 2,461.6 秒，GPU 未使用。P95 为两方向偏差分布中较大的 P95；F1@100 m 是双向容差覆盖率的调和平均。硬约束检查零违规只针对已配置图层，不是工程许可或可建性认证。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61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_penalty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1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1 转弯权重对双向 P95 与 100 m 对称 F1 的影响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214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_penalty_route_overl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1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18"/>
        </w:rPr>
        <w:t>图 2 三个案例的历史线路与冻结候选路线叠加</w:t>
      </w:r>
    </w:p>
    <w:p>
      <w:pPr>
        <w:pStyle w:val="Heading1"/>
      </w:pPr>
      <w:r>
        <w:t>四 数据边界与后续工作</w:t>
      </w:r>
    </w:p>
    <w:p>
      <w:r>
        <w:rPr>
          <w:rFonts w:ascii="宋体" w:hAnsi="宋体" w:eastAsia="宋体"/>
        </w:rPr>
        <w:t>实验使用约 35 m DEM、陆域掩膜、官方灾害图层、OSM 建筑/土地利用缓存和显式约束图层；OSM 覆盖完整性及接入点拓扑仍需核实。实验性塔位图采用简化高度与弧垂筛查，尚未替代导线力学、塔型、风冰荷载、逐跨档距和法规净空校核。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先核实站端线路侧接入点、电路拓扑和线路许可走廊，再扩大真实线路盲测样本。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分离 A* 搜索转弯代价与路径平滑阶段的参数，独立验证各阶段作用。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补充居民点、保护区、地质灾害和建筑图层的来源、精度与覆盖审计。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如仍将无人机扫描或深度学习列作结项目标，提交相应模块、演示和可复现实验后再更新结题结论。</w:t>
      </w:r>
    </w:p>
    <w:p>
      <w:pPr>
        <w:pStyle w:val="Heading1"/>
      </w:pPr>
      <w:r>
        <w:t>五 结题材料清单与待补信息</w:t>
      </w:r>
    </w:p>
    <w:p>
      <w:pPr>
        <w:pStyle w:val="ListBullet"/>
        <w:ind w:left="340" w:hanging="170"/>
      </w:pPr>
      <w:r>
        <w:t>立项表项目名称与周期已按现有表格记录；立项编号、级别、负责人/成员、指导教师、经费和最新批准的验收日期。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学校指定结题表、指导教师意见、成员签字、经费决算和成果证明。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对原计划调整的导师/学院确认意见及实际原因。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软件演示方式、运行环境、用户手册和最终源码冻结版本。</w:t>
      </w:r>
    </w:p>
    <w:p>
      <w:pPr>
        <w:pStyle w:val="Heading1"/>
      </w:pPr>
      <w:r>
        <w:t>六 可核查成果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软件源码、运行说明、说明书和源文件哈希清单。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18 组地形权重消融、15 条转弯权重候选的事后对比、图表及冻结记录。</w:t>
      </w:r>
    </w:p>
    <w:p>
      <w:pPr>
        <w:pStyle w:val="ListBullet"/>
        <w:ind w:left="340" w:hanging="170"/>
      </w:pPr>
      <w:r>
        <w:rPr>
          <w:rFonts w:ascii="宋体" w:hAnsi="宋体" w:eastAsia="宋体"/>
        </w:rPr>
        <w:t>软著申请字段草稿和申请资料清单；个人/单位主体证明、权属协议和正式提交回执尚待申请人准备。</w:t>
      </w:r>
    </w:p>
    <w:p>
      <w:r>
        <w:rPr>
          <w:rFonts w:ascii="宋体" w:hAnsi="宋体" w:eastAsia="宋体"/>
        </w:rPr>
        <w:t>本报告是项目组结题材料草稿，不是学校验收结论。所有未确认信息应由项目负责人依据原始材料补齐。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B7780"/>
        <w:sz w:val="16"/>
      </w:rPr>
      <w:t xml:space="preserve">申请/结题前请按实际权属、校内模板和运行记录核对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B7780"/>
        <w:sz w:val="16"/>
      </w:rPr>
      <w:t>输电线路智能路径规划系统 V5.0  |  材料草稿  |  2026-10-27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4A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366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2366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大创项目阶段总结及结项预备报告</dc:title>
  <dc:subject>项目组材料草稿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