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P5 Unit 1 - Introduction to P5</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10 Final Culminating Culture Project (continued - 2-3 class sessions)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Cultural Project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Computational Thinking:  Algorithms and Programming: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7-8.CT.10 Document the iterative design process of developing a computational artifact that incorporates user feedback and preferences.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7-8.CT.7 Design or remix a program that uses a variable to maintain the current value of a key piece of information.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12">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widowControl w:val="0"/>
              <w:numPr>
                <w:ilvl w:val="0"/>
                <w:numId w:val="2"/>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able to create a cultural project that depicts something of the student’s background using the concepts learned in how to create shapes and color them.  Students may use the reference part of the program to help them if they want to try some optional concepts that we have not learned yet.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1A">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B">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C">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D">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E">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1F">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20">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21">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22">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23">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24">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25">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26">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Vertex/Vertices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b w:val="1"/>
                <w:color w:val="333333"/>
                <w:sz w:val="20"/>
                <w:szCs w:val="20"/>
                <w:highlight w:val="white"/>
                <w:rtl w:val="0"/>
              </w:rPr>
              <w:t xml:space="preserve"> If you could say something important to the whole world about your background, what would it be? Why is it important to you?</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-We’ve been working on P5 programming and discussing culture.  We are putting this together to create a P5 sketch that reveals something about our background culture.  We will also include some HTML and CSS in P5 so we can showcase our sketch on a web page.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How can we be sure our web page is successful?</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are some ways you can reflect on your project?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will pre-plan their projects in a packet and will also be provided a rubric.  They will build their projects and finally reflect on their projects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class periods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One: </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the handout that is provided in Google Classroom entitled Cultural Project Planning Packet.</w:t>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use the packet pages for reflecting on our projects.</w:t>
            </w:r>
          </w:p>
          <w:p w:rsidR="00000000" w:rsidDel="00000000" w:rsidP="00000000" w:rsidRDefault="00000000" w:rsidRPr="00000000" w14:paraId="0000003C">
            <w:pPr>
              <w:widowControl w:val="0"/>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Answer the questions on self reflection.</w:t>
            </w:r>
          </w:p>
          <w:p w:rsidR="00000000" w:rsidDel="00000000" w:rsidP="00000000" w:rsidRDefault="00000000" w:rsidRPr="00000000" w14:paraId="0000003D">
            <w:pPr>
              <w:widowControl w:val="0"/>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the page with the comments to help you if you need to debug your program ahd HTML/CSS.</w:t>
            </w:r>
          </w:p>
          <w:p w:rsidR="00000000" w:rsidDel="00000000" w:rsidP="00000000" w:rsidRDefault="00000000" w:rsidRPr="00000000" w14:paraId="0000003E">
            <w:pPr>
              <w:widowControl w:val="0"/>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Finally there are three boxes provided for you to get feedback from three classmates.  You will go around the room and use the rubric to look at others web design and comment on their packet pages.</w:t>
            </w:r>
          </w:p>
          <w:p w:rsidR="00000000" w:rsidDel="00000000" w:rsidP="00000000" w:rsidRDefault="00000000" w:rsidRPr="00000000" w14:paraId="0000003F">
            <w:pPr>
              <w:widowControl w:val="0"/>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You will also get 3 of your classmates to comment on yours.</w:t>
            </w:r>
          </w:p>
          <w:p w:rsidR="00000000" w:rsidDel="00000000" w:rsidP="00000000" w:rsidRDefault="00000000" w:rsidRPr="00000000" w14:paraId="00000040">
            <w:pPr>
              <w:widowControl w:val="0"/>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Finally you will use your comments on your packet to help you improve or correct anything you need to on your project.</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How were you able to refine your project?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Share some of the projects on the Smartboard.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b w:val="1"/>
                <w:color w:val="333333"/>
                <w:sz w:val="20"/>
                <w:szCs w:val="20"/>
                <w:rtl w:val="0"/>
              </w:rPr>
              <w:t xml:space="preserve">Question of the Day: Why do people create web pages?</w:t>
            </w:r>
          </w:p>
          <w:p w:rsidR="00000000" w:rsidDel="00000000" w:rsidP="00000000" w:rsidRDefault="00000000" w:rsidRPr="00000000" w14:paraId="00000048">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Journal 3-2-1:</w:t>
            </w:r>
          </w:p>
          <w:p w:rsidR="00000000" w:rsidDel="00000000" w:rsidP="00000000" w:rsidRDefault="00000000" w:rsidRPr="00000000" w14:paraId="00000049">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3 - What are three topics you might be interested in creating a website about?</w:t>
            </w:r>
          </w:p>
          <w:p w:rsidR="00000000" w:rsidDel="00000000" w:rsidP="00000000" w:rsidRDefault="00000000" w:rsidRPr="00000000" w14:paraId="0000004A">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2 - What are two reasons you think someone might visit a website that you create?</w:t>
            </w:r>
          </w:p>
          <w:p w:rsidR="00000000" w:rsidDel="00000000" w:rsidP="00000000" w:rsidRDefault="00000000" w:rsidRPr="00000000" w14:paraId="0000004B">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1 - What's one thing you're most interested in learning about creating websites?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http://code.org</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http://w3schools.com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Rubric, Cultural Planning Project.</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3schools.com" TargetMode="External"/><Relationship Id="rId9" Type="http://schemas.openxmlformats.org/officeDocument/2006/relationships/hyperlink" Target="https://translat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ode.org" TargetMode="External"/><Relationship Id="rId8" Type="http://schemas.openxmlformats.org/officeDocument/2006/relationships/hyperlink" Target="http://classroom.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UYX3OY55hu5QzgzQIHq4Pby8dA==">AMUW2mXWhg+GK9TOg9kIIE/dJDpTqzw2i9GwSPham1zdLfunkV16qNFF6UFVTakJGyk6rNloA/pwKEwXlKXNLWYarX/msWN1Omu3dAuJkQC2aRbbtThmqaQEXmvOI7465etzxL455GME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