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1 — Immiscible Liquid–Liquid Interface</w:t>
      </w:r>
    </w:p>
    <w:p>
      <w:pPr>
        <w:pStyle w:val="FirstParagraph"/>
      </w:pPr>
      <w:r>
        <w:rPr>
          <w:b/>
          <w:bCs/>
        </w:rPr>
        <w:t xml:space="preserve">Question</w:t>
      </w:r>
    </w:p>
    <w:p>
      <w:pPr>
        <w:pStyle w:val="BodyText"/>
      </w:pPr>
      <w:r>
        <w:t xml:space="preserve">Two immiscible Newtonian fluids, fluid 1 and fluid 2, are confined between two infinite, parallel plates separated by a distance</w:t>
      </w:r>
      <w:r>
        <w:t xml:space="preserve"> </w:t>
      </w:r>
      <m:oMath>
        <m:r>
          <m:t>H</m:t>
        </m:r>
      </m:oMath>
      <w:r>
        <w:t xml:space="preserve">. The fluid interface lies at</w:t>
      </w:r>
      <w:r>
        <w:t xml:space="preserve"> </w:t>
      </w:r>
      <m:oMath>
        <m:r>
          <m:t>y</m:t>
        </m:r>
        <m:r>
          <m:rPr>
            <m:sty m:val="p"/>
          </m:rPr>
          <m:t>=</m:t>
        </m:r>
        <m:r>
          <m:t>h</m:t>
        </m:r>
      </m:oMath>
      <w:r>
        <w:t xml:space="preserve">. The bottom plate at</w:t>
      </w:r>
      <w:r>
        <w:t xml:space="preserve"> </w:t>
      </w:r>
      <m:oMath>
        <m:r>
          <m:t>y</m:t>
        </m:r>
        <m:r>
          <m:rPr>
            <m:sty m:val="p"/>
          </m:rPr>
          <m:t>=</m:t>
        </m:r>
        <m:r>
          <m:t>0</m:t>
        </m:r>
      </m:oMath>
      <w:r>
        <w:t xml:space="preserve"> </w:t>
      </w:r>
      <w:r>
        <w:t xml:space="preserve">is stationary, while the top plate at</w:t>
      </w:r>
      <w:r>
        <w:t xml:space="preserve"> </w:t>
      </w:r>
      <m:oMath>
        <m:r>
          <m:t>y</m:t>
        </m:r>
        <m:r>
          <m:rPr>
            <m:sty m:val="p"/>
          </m:rPr>
          <m:t>=</m:t>
        </m:r>
        <m:r>
          <m:t>H</m:t>
        </m:r>
      </m:oMath>
      <w:r>
        <w:t xml:space="preserve"> </w:t>
      </w:r>
      <w:r>
        <w:t xml:space="preserve">moves in the</w:t>
      </w:r>
      <w:r>
        <w:t xml:space="preserve"> </w:t>
      </w:r>
      <m:oMath>
        <m:r>
          <m:t>x</m:t>
        </m:r>
      </m:oMath>
      <w:r>
        <w:t xml:space="preserve">-direction with constant velocity</w:t>
      </w:r>
      <w:r>
        <w:t xml:space="preserve"> </w:t>
      </w:r>
      <m:oMath>
        <m:r>
          <m:t>U</m:t>
        </m:r>
      </m:oMath>
      <w:r>
        <w:t xml:space="preserve">. Flow is steady, laminar, and fully developed, with</w:t>
      </w:r>
      <w:r>
        <w:t xml:space="preserve"> </w:t>
      </w:r>
      <m:oMath>
        <m:sSub>
          <m:e>
            <m:r>
              <m:t>v</m:t>
            </m:r>
          </m:e>
          <m:sub>
            <m:r>
              <m:t>x</m:t>
            </m:r>
          </m:sub>
        </m:sSub>
        <m:r>
          <m:rPr>
            <m:sty m:val="p"/>
          </m:rPr>
          <m:t>=</m:t>
        </m:r>
        <m:sSub>
          <m:e>
            <m:r>
              <m:t>v</m:t>
            </m:r>
          </m:e>
          <m:sub>
            <m:r>
              <m:t>x</m:t>
            </m:r>
          </m:sub>
        </m:sSub>
        <m:r>
          <m:rPr>
            <m:sty m:val="p"/>
          </m:rPr>
          <m:t>(</m:t>
        </m:r>
        <m:r>
          <m:t>y</m:t>
        </m:r>
        <m:r>
          <m:rPr>
            <m:sty m:val="p"/>
          </m:rPr>
          <m:t>)</m:t>
        </m:r>
      </m:oMath>
      <w:r>
        <w:t xml:space="preserve"> </w:t>
      </w:r>
      <w:r>
        <w:t xml:space="preserve">and</w:t>
      </w:r>
      <w:r>
        <w:t xml:space="preserve"> </w:t>
      </w:r>
      <m:oMath>
        <m:sSub>
          <m:e>
            <m:r>
              <m:t>v</m:t>
            </m:r>
          </m:e>
          <m:sub>
            <m:r>
              <m:t>y</m:t>
            </m:r>
          </m:sub>
        </m:sSub>
        <m:r>
          <m:rPr>
            <m:sty m:val="p"/>
          </m:rPr>
          <m:t>=</m:t>
        </m:r>
        <m:sSub>
          <m:e>
            <m:r>
              <m:t>v</m:t>
            </m:r>
          </m:e>
          <m:sub>
            <m:r>
              <m:t>z</m:t>
            </m:r>
          </m:sub>
        </m:sSub>
        <m:r>
          <m:rPr>
            <m:sty m:val="p"/>
          </m:rPr>
          <m:t>=</m:t>
        </m:r>
        <m:r>
          <m:t>0</m:t>
        </m:r>
      </m:oMath>
      <w:r>
        <w:t xml:space="preserve">.</w:t>
      </w:r>
    </w:p>
    <w:p>
      <w:pPr>
        <w:numPr>
          <w:ilvl w:val="0"/>
          <w:numId w:val="1001"/>
        </w:numPr>
      </w:pPr>
      <w:r>
        <w:t xml:space="preserve">Draw the schematic of the problem</w:t>
      </w:r>
    </w:p>
    <w:p>
      <w:pPr>
        <w:numPr>
          <w:ilvl w:val="0"/>
          <w:numId w:val="1001"/>
        </w:numPr>
      </w:pPr>
      <w:r>
        <w:t xml:space="preserve">What boundary conditions apply, and where are they applied?</w:t>
      </w:r>
    </w:p>
    <w:p>
      <w:pPr>
        <w:numPr>
          <w:ilvl w:val="0"/>
          <w:numId w:val="1001"/>
        </w:numPr>
      </w:pPr>
      <w:r>
        <w:t xml:space="preserve">Explain physically why both velocity and shear stress must be continuous at the interface</w:t>
      </w:r>
    </w:p>
    <w:p>
      <w:pPr>
        <w:numPr>
          <w:ilvl w:val="0"/>
          <w:numId w:val="1001"/>
        </w:numPr>
      </w:pPr>
      <w:r>
        <w:t xml:space="preserve">If</w:t>
      </w:r>
      <w:r>
        <w:t xml:space="preserve"> </w:t>
      </w:r>
      <m:oMath>
        <m:sSub>
          <m:e>
            <m:r>
              <m:t>μ</m:t>
            </m:r>
          </m:e>
          <m:sub>
            <m:r>
              <m:t>1</m:t>
            </m:r>
          </m:sub>
        </m:sSub>
        <m:r>
          <m:rPr>
            <m:sty m:val="p"/>
          </m:rPr>
          <m:t>≠</m:t>
        </m:r>
        <m:sSub>
          <m:e>
            <m:r>
              <m:t>μ</m:t>
            </m:r>
          </m:e>
          <m:sub>
            <m:r>
              <m:t>2</m:t>
            </m:r>
          </m:sub>
        </m:sSub>
      </m:oMath>
      <w:r>
        <w:t xml:space="preserve">, state whether the velocity gradient</w:t>
      </w:r>
      <w:r>
        <w:t xml:space="preserve"> </w:t>
      </w:r>
      <m:oMath>
        <m:r>
          <m:t>d</m:t>
        </m:r>
        <m:sSub>
          <m:e>
            <m:r>
              <m:t>v</m:t>
            </m:r>
          </m:e>
          <m:sub>
            <m:r>
              <m:t>x</m:t>
            </m:r>
          </m:sub>
        </m:sSub>
        <m:r>
          <m:rPr>
            <m:sty m:val="p"/>
          </m:rPr>
          <m:t>/</m:t>
        </m:r>
        <m:r>
          <m:t>d</m:t>
        </m:r>
        <m:r>
          <m:t>y</m:t>
        </m:r>
      </m:oMath>
      <w:r>
        <w:t xml:space="preserve"> </w:t>
      </w:r>
      <w:r>
        <w:t xml:space="preserve">must be continuous at</w:t>
      </w:r>
      <w:r>
        <w:t xml:space="preserve"> </w:t>
      </w:r>
      <m:oMath>
        <m:r>
          <m:t>y</m:t>
        </m:r>
        <m:r>
          <m:rPr>
            <m:sty m:val="p"/>
          </m:rPr>
          <m:t>=</m:t>
        </m:r>
        <m:r>
          <m:t>h</m:t>
        </m:r>
      </m:oMath>
      <w:r>
        <w:t xml:space="preserve">, and justify your answer</w:t>
      </w:r>
    </w:p>
    <w:p>
      <w:pPr>
        <w:pStyle w:val="FirstParagraph"/>
      </w:pPr>
      <w:r>
        <w:rPr>
          <w:b/>
          <w:bCs/>
        </w:rPr>
        <w:t xml:space="preserve">Given:</w:t>
      </w:r>
      <w:r>
        <w:t xml:space="preserve"> </w:t>
      </w:r>
      <w:r>
        <w:t xml:space="preserve">two immiscible Newtonian fluids with viscosities</w:t>
      </w:r>
      <w:r>
        <w:t xml:space="preserve"> </w:t>
      </w:r>
      <m:oMath>
        <m:sSub>
          <m:e>
            <m:r>
              <m:t>μ</m:t>
            </m:r>
          </m:e>
          <m:sub>
            <m:r>
              <m:t>1</m:t>
            </m:r>
          </m:sub>
        </m:sSub>
      </m:oMath>
      <w:r>
        <w:t xml:space="preserve">,</w:t>
      </w:r>
      <w:r>
        <w:t xml:space="preserve"> </w:t>
      </w:r>
      <m:oMath>
        <m:sSub>
          <m:e>
            <m:r>
              <m:t>μ</m:t>
            </m:r>
          </m:e>
          <m:sub>
            <m:r>
              <m:t>2</m:t>
            </m:r>
          </m:sub>
        </m:sSub>
      </m:oMath>
      <w:r>
        <w:t xml:space="preserve"> </w:t>
      </w:r>
      <w:r>
        <w:t xml:space="preserve">and densities</w:t>
      </w:r>
      <w:r>
        <w:t xml:space="preserve"> </w:t>
      </w:r>
      <m:oMath>
        <m:sSub>
          <m:e>
            <m:r>
              <m:t>ρ</m:t>
            </m:r>
          </m:e>
          <m:sub>
            <m:r>
              <m:t>1</m:t>
            </m:r>
          </m:sub>
        </m:sSub>
      </m:oMath>
      <w:r>
        <w:t xml:space="preserve">,</w:t>
      </w:r>
      <w:r>
        <w:t xml:space="preserve"> </w:t>
      </w:r>
      <m:oMath>
        <m:sSub>
          <m:e>
            <m:r>
              <m:t>ρ</m:t>
            </m:r>
          </m:e>
          <m:sub>
            <m:r>
              <m:t>2</m:t>
            </m:r>
          </m:sub>
        </m:sSub>
      </m:oMath>
      <w:r>
        <w:t xml:space="preserve">; plate spacing</w:t>
      </w:r>
      <w:r>
        <w:t xml:space="preserve"> </w:t>
      </w:r>
      <m:oMath>
        <m:r>
          <m:t>H</m:t>
        </m:r>
      </m:oMath>
      <w:r>
        <w:t xml:space="preserve">; interface at</w:t>
      </w:r>
      <w:r>
        <w:t xml:space="preserve"> </w:t>
      </w:r>
      <m:oMath>
        <m:r>
          <m:t>y</m:t>
        </m:r>
        <m:r>
          <m:rPr>
            <m:sty m:val="p"/>
          </m:rPr>
          <m:t>=</m:t>
        </m:r>
        <m:r>
          <m:t>h</m:t>
        </m:r>
      </m:oMath>
      <w:r>
        <w:t xml:space="preserve">; stationary bottom plate; top plate moving at</w:t>
      </w:r>
      <w:r>
        <w:t xml:space="preserve"> </w:t>
      </w:r>
      <m:oMath>
        <m:r>
          <m:t>U</m:t>
        </m:r>
      </m:oMath>
      <w:r>
        <w:t xml:space="preserve"> </w:t>
      </w:r>
      <w:r>
        <w:t xml:space="preserve">in the</w:t>
      </w:r>
      <w:r>
        <w:t xml:space="preserve"> </w:t>
      </w:r>
      <m:oMath>
        <m:r>
          <m:rPr>
            <m:sty m:val="p"/>
          </m:rPr>
          <m:t>+</m:t>
        </m:r>
        <m:r>
          <m:t>x</m:t>
        </m:r>
      </m:oMath>
      <w:r>
        <w:t xml:space="preserve">-direction; steady, laminar, fully developed flow.</w:t>
      </w:r>
    </w:p>
    <w:p>
      <w:pPr>
        <w:pStyle w:val="BodyText"/>
      </w:pPr>
      <w:r>
        <w:rPr>
          <w:b/>
          <w:bCs/>
        </w:rPr>
        <w:t xml:space="preserve">Additional assumptions:</w:t>
      </w:r>
      <w:r>
        <w:t xml:space="preserve"> </w:t>
      </w:r>
      <w:r>
        <w:t xml:space="preserve">the interface is flat and stays at</w:t>
      </w:r>
      <w:r>
        <w:t xml:space="preserve"> </w:t>
      </w:r>
      <m:oMath>
        <m:r>
          <m:t>y</m:t>
        </m:r>
        <m:r>
          <m:rPr>
            <m:sty m:val="p"/>
          </m:rPr>
          <m:t>=</m:t>
        </m:r>
        <m:r>
          <m:t>h</m:t>
        </m:r>
      </m:oMath>
      <w:r>
        <w:t xml:space="preserve">; there is no applied pressure gradient in</w:t>
      </w:r>
      <w:r>
        <w:t xml:space="preserve"> </w:t>
      </w:r>
      <m:oMath>
        <m:r>
          <m:t>x</m:t>
        </m:r>
      </m:oMath>
      <w:r>
        <w:t xml:space="preserve">, so the flow is driven only by the moving plate; surface-tension gradients along the interface are negligible. No numerical values are given, so the solution stays symbolic.</w:t>
      </w:r>
    </w:p>
    <w:p>
      <w:pPr>
        <w:pStyle w:val="BodyText"/>
      </w:pPr>
      <w:r>
        <w:rPr>
          <w:b/>
          <w:bCs/>
        </w:rPr>
        <w:t xml:space="preserve">Fluid placement:</w:t>
      </w:r>
      <w:r>
        <w:t xml:space="preserve"> </w:t>
      </w:r>
      <w:r>
        <w:t xml:space="preserve">the written problem places fluid 1 in</w:t>
      </w:r>
      <w:r>
        <w:t xml:space="preserve"> </w:t>
      </w:r>
      <m:oMath>
        <m:r>
          <m:t>0</m:t>
        </m:r>
        <m:r>
          <m:rPr>
            <m:sty m:val="p"/>
          </m:rPr>
          <m:t>≤</m:t>
        </m:r>
        <m:r>
          <m:t>y</m:t>
        </m:r>
        <m:r>
          <m:rPr>
            <m:sty m:val="p"/>
          </m:rPr>
          <m:t>≤</m:t>
        </m:r>
        <m:r>
          <m:t>h</m:t>
        </m:r>
      </m:oMath>
      <w:r>
        <w:t xml:space="preserve">, but the supplied figure places fluid 1 in</w:t>
      </w:r>
      <w:r>
        <w:t xml:space="preserve"> </w:t>
      </w:r>
      <m:oMath>
        <m:r>
          <m:t>h</m:t>
        </m:r>
        <m:r>
          <m:rPr>
            <m:sty m:val="p"/>
          </m:rPr>
          <m:t>&lt;</m:t>
        </m:r>
        <m:r>
          <m:t>y</m:t>
        </m:r>
        <m:r>
          <m:rPr>
            <m:sty m:val="p"/>
          </m:rPr>
          <m:t>&lt;</m:t>
        </m:r>
        <m:r>
          <m:t>H</m:t>
        </m:r>
      </m:oMath>
      <w:r>
        <w:t xml:space="preserve"> </w:t>
      </w:r>
      <w:r>
        <w:t xml:space="preserve">and fluid 2 in</w:t>
      </w:r>
      <w:r>
        <w:t xml:space="preserve"> </w:t>
      </w:r>
      <m:oMath>
        <m:r>
          <m:t>0</m:t>
        </m:r>
        <m:r>
          <m:rPr>
            <m:sty m:val="p"/>
          </m:rPr>
          <m:t>&lt;</m:t>
        </m:r>
        <m:r>
          <m:t>y</m:t>
        </m:r>
        <m:r>
          <m:rPr>
            <m:sty m:val="p"/>
          </m:rPr>
          <m:t>&lt;</m:t>
        </m:r>
        <m:r>
          <m:t>h</m:t>
        </m:r>
      </m:oMath>
      <w:r>
        <w:t xml:space="preserve">. This solution follows the figure. Reversing the placement only swaps the subscripts 1 and 2 at the plates; every result below is otherwise unchanged.</w:t>
      </w:r>
    </w:p>
    <w:bookmarkStart w:id="12" w:name="a-draw-the-schematic"/>
    <w:p>
      <w:pPr>
        <w:pStyle w:val="Heading2"/>
      </w:pPr>
      <w:r>
        <w:t xml:space="preserve">a Draw the schematic</w:t>
      </w:r>
    </w:p>
    <w:p>
      <w:pPr>
        <w:pStyle w:val="FirstParagraph"/>
      </w:pPr>
      <w:r>
        <w:t xml:space="preserve">The schematic shows the two fluid layers, the interface at</w:t>
      </w:r>
      <w:r>
        <w:t xml:space="preserve"> </w:t>
      </w:r>
      <m:oMath>
        <m:r>
          <m:t>y</m:t>
        </m:r>
        <m:r>
          <m:rPr>
            <m:sty m:val="p"/>
          </m:rPr>
          <m:t>=</m:t>
        </m:r>
        <m:r>
          <m:t>h</m:t>
        </m:r>
      </m:oMath>
      <w:r>
        <w:t xml:space="preserve">, the stationary and moving plates, and the coordinate axes. The velocity profile is linear in each layer, with a change in slope (a kink) at the interface. It is drawn for</w:t>
      </w:r>
      <w:r>
        <w:t xml:space="preserve"> </w:t>
      </w:r>
      <m:oMath>
        <m:sSub>
          <m:e>
            <m:r>
              <m:t>μ</m:t>
            </m:r>
          </m:e>
          <m:sub>
            <m:r>
              <m:t>1</m:t>
            </m:r>
          </m:sub>
        </m:sSub>
        <m:r>
          <m:rPr>
            <m:sty m:val="p"/>
          </m:rPr>
          <m:t>&lt;</m:t>
        </m:r>
        <m:sSub>
          <m:e>
            <m:r>
              <m:t>μ</m:t>
            </m:r>
          </m:e>
          <m:sub>
            <m:r>
              <m:t>2</m:t>
            </m:r>
          </m:sub>
        </m:sSub>
      </m:oMath>
      <w:r>
        <w:t xml:space="preserve"> </w:t>
      </w:r>
      <w:r>
        <w:t xml:space="preserve">only for illustration; no viscosity values are given.</w:t>
      </w:r>
    </w:p>
    <w:p>
      <w:pPr>
        <w:pStyle w:val="CaptionedFigure"/>
      </w:pPr>
      <w:r>
        <w:drawing>
          <wp:inline>
            <wp:extent cx="5486400" cy="3255770"/>
            <wp:effectExtent b="0" l="0" r="0" t="0"/>
            <wp:docPr descr="Two immiscible fluids between a stationary bottom plate and a top plate moving at U" title="" id="10" name="Picture"/>
            <a:graphic>
              <a:graphicData uri="http://schemas.openxmlformats.org/drawingml/2006/picture">
                <pic:pic>
                  <pic:nvPicPr>
                    <pic:cNvPr descr="figures/Ch4_Problem_01_schematic.png" id="11" name="Picture"/>
                    <pic:cNvPicPr>
                      <a:picLocks noChangeArrowheads="1" noChangeAspect="1"/>
                    </pic:cNvPicPr>
                  </pic:nvPicPr>
                  <pic:blipFill>
                    <a:blip r:embed="rId9"/>
                    <a:stretch>
                      <a:fillRect/>
                    </a:stretch>
                  </pic:blipFill>
                  <pic:spPr bwMode="auto">
                    <a:xfrm>
                      <a:off x="0" y="0"/>
                      <a:ext cx="5486400" cy="3255770"/>
                    </a:xfrm>
                    <a:prstGeom prst="rect">
                      <a:avLst/>
                    </a:prstGeom>
                    <a:noFill/>
                    <a:ln w="9525">
                      <a:noFill/>
                      <a:headEnd/>
                      <a:tailEnd/>
                    </a:ln>
                  </pic:spPr>
                </pic:pic>
              </a:graphicData>
            </a:graphic>
          </wp:inline>
        </w:drawing>
      </w:r>
    </w:p>
    <w:p>
      <w:pPr>
        <w:pStyle w:val="ImageCaption"/>
      </w:pPr>
      <w:r>
        <w:t xml:space="preserve">Two immiscible fluids between a stationary bottom plate and a top plate moving at U</w:t>
      </w:r>
    </w:p>
    <w:bookmarkEnd w:id="12"/>
    <w:bookmarkStart w:id="13" w:name="X996f37f9a276f3663090ab6bae56e2d8717446c"/>
    <w:p>
      <w:pPr>
        <w:pStyle w:val="Heading2"/>
      </w:pPr>
      <w:r>
        <w:t xml:space="preserve">b State the boundary conditions and where they apply</w:t>
      </w:r>
    </w:p>
    <w:p>
      <w:pPr>
        <w:pStyle w:val="FirstParagraph"/>
      </w:pPr>
      <w:r>
        <w:t xml:space="preserve">Boundary conditions are needed at the three surfaces that bound the two fluid layers: the bottom plate</w:t>
      </w:r>
      <w:r>
        <w:t xml:space="preserve"> </w:t>
      </w:r>
      <m:oMath>
        <m:r>
          <m:t>y</m:t>
        </m:r>
        <m:r>
          <m:rPr>
            <m:sty m:val="p"/>
          </m:rPr>
          <m:t>=</m:t>
        </m:r>
        <m:r>
          <m:t>0</m:t>
        </m:r>
      </m:oMath>
      <w:r>
        <w:t xml:space="preserve">, the interface</w:t>
      </w:r>
      <w:r>
        <w:t xml:space="preserve"> </w:t>
      </w:r>
      <m:oMath>
        <m:r>
          <m:t>y</m:t>
        </m:r>
        <m:r>
          <m:rPr>
            <m:sty m:val="p"/>
          </m:rPr>
          <m:t>=</m:t>
        </m:r>
        <m:r>
          <m:t>h</m:t>
        </m:r>
      </m:oMath>
      <w:r>
        <w:t xml:space="preserve"> </w:t>
      </w:r>
      <w:r>
        <w:t xml:space="preserve">and the top plate</w:t>
      </w:r>
      <w:r>
        <w:t xml:space="preserve"> </w:t>
      </w:r>
      <m:oMath>
        <m:r>
          <m:t>y</m:t>
        </m:r>
        <m:r>
          <m:rPr>
            <m:sty m:val="p"/>
          </m:rPr>
          <m:t>=</m:t>
        </m:r>
        <m:r>
          <m:t>H</m:t>
        </m:r>
      </m:oMath>
      <w:r>
        <w:t xml:space="preserve">.</w:t>
      </w:r>
    </w:p>
    <w:p>
      <w:pPr>
        <w:pStyle w:val="BodyText"/>
      </w:pPr>
      <w:r>
        <w:t xml:space="preserve">At each solid wall the fluid moves with the wall (no slip). Using Equation (4.5)</w:t>
      </w:r>
    </w:p>
    <w:p>
      <w:pPr>
        <w:pStyle w:val="BodyText"/>
      </w:pPr>
      <m:oMathPara>
        <m:oMathParaPr>
          <m:jc m:val="center"/>
        </m:oMathParaPr>
        <m:oMath>
          <m:sSub>
            <m:e>
              <m:d>
                <m:dPr>
                  <m:begChr m:val="("/>
                  <m:sepChr m:val=""/>
                  <m:endChr m:val=")"/>
                  <m:grow/>
                </m:dPr>
                <m:e>
                  <m:sSub>
                    <m:e>
                      <m:r>
                        <m:t>v</m:t>
                      </m:r>
                    </m:e>
                    <m:sub>
                      <m:r>
                        <m:t>i</m:t>
                      </m:r>
                    </m:sub>
                  </m:sSub>
                </m:e>
              </m:d>
            </m:e>
            <m:sub>
              <m:r>
                <m:rPr>
                  <m:nor/>
                  <m:sty m:val="p"/>
                </m:rPr>
                <m:t>f</m:t>
              </m:r>
            </m:sub>
          </m:sSub>
          <m:r>
            <m:rPr>
              <m:sty m:val="p"/>
            </m:rPr>
            <m:t>=</m:t>
          </m:r>
          <m:sSub>
            <m:e>
              <m:d>
                <m:dPr>
                  <m:begChr m:val="("/>
                  <m:sepChr m:val=""/>
                  <m:endChr m:val=")"/>
                  <m:grow/>
                </m:dPr>
                <m:e>
                  <m:sSub>
                    <m:e>
                      <m:r>
                        <m:t>v</m:t>
                      </m:r>
                    </m:e>
                    <m:sub>
                      <m:r>
                        <m:t>i</m:t>
                      </m:r>
                    </m:sub>
                  </m:sSub>
                </m:e>
              </m:d>
            </m:e>
            <m:sub>
              <m:r>
                <m:rPr>
                  <m:nor/>
                  <m:sty m:val="p"/>
                </m:rPr>
                <m:t>s</m:t>
              </m:r>
            </m:sub>
          </m:sSub>
        </m:oMath>
      </m:oMathPara>
    </w:p>
    <w:p>
      <w:pPr>
        <w:pStyle w:val="FirstParagraph"/>
      </w:pPr>
      <w:r>
        <w:t xml:space="preserve">At the stationary bottom plate, fluid 2 is in contact with the wall</w:t>
      </w:r>
    </w:p>
    <w:p>
      <w:pPr>
        <w:pStyle w:val="BodyText"/>
      </w:pPr>
      <m:oMathPara>
        <m:oMathParaPr>
          <m:jc m:val="center"/>
        </m:oMathParaPr>
        <m:oMath>
          <m:borderBox>
            <m:e>
              <m:sSub>
                <m:e>
                  <m:r>
                    <m:t>v</m:t>
                  </m:r>
                </m:e>
                <m:sub>
                  <m:r>
                    <m:t>x</m:t>
                  </m:r>
                  <m:r>
                    <m:rPr>
                      <m:sty m:val="p"/>
                    </m:rPr>
                    <m:t>,</m:t>
                  </m:r>
                  <m:r>
                    <m:t>2</m:t>
                  </m:r>
                </m:sub>
              </m:sSub>
              <m:r>
                <m:rPr>
                  <m:sty m:val="p"/>
                </m:rPr>
                <m:t>=</m:t>
              </m:r>
              <m:r>
                <m:t>0</m:t>
              </m:r>
              <m:r>
                <m:t> </m:t>
              </m:r>
              <m:r>
                <m:rPr>
                  <m:nor/>
                  <m:sty m:val="p"/>
                </m:rPr>
                <m:t>at </m:t>
              </m:r>
              <m:r>
                <m:t>y</m:t>
              </m:r>
              <m:r>
                <m:rPr>
                  <m:sty m:val="p"/>
                </m:rPr>
                <m:t>=</m:t>
              </m:r>
              <m:r>
                <m:t>0</m:t>
              </m:r>
            </m:e>
          </m:borderBox>
        </m:oMath>
      </m:oMathPara>
    </w:p>
    <w:p>
      <w:pPr>
        <w:pStyle w:val="FirstParagraph"/>
      </w:pPr>
      <w:r>
        <w:t xml:space="preserve">At the moving top plate, fluid 1 is in contact with the wall</w:t>
      </w:r>
    </w:p>
    <w:p>
      <w:pPr>
        <w:pStyle w:val="BodyText"/>
      </w:pPr>
      <m:oMathPara>
        <m:oMathParaPr>
          <m:jc m:val="center"/>
        </m:oMathParaPr>
        <m:oMath>
          <m:borderBox>
            <m:e>
              <m:sSub>
                <m:e>
                  <m:r>
                    <m:t>v</m:t>
                  </m:r>
                </m:e>
                <m:sub>
                  <m:r>
                    <m:t>x</m:t>
                  </m:r>
                  <m:r>
                    <m:rPr>
                      <m:sty m:val="p"/>
                    </m:rPr>
                    <m:t>,</m:t>
                  </m:r>
                  <m:r>
                    <m:t>1</m:t>
                  </m:r>
                </m:sub>
              </m:sSub>
              <m:r>
                <m:rPr>
                  <m:sty m:val="p"/>
                </m:rPr>
                <m:t>=</m:t>
              </m:r>
              <m:r>
                <m:t>U</m:t>
              </m:r>
              <m:r>
                <m:t> </m:t>
              </m:r>
              <m:r>
                <m:rPr>
                  <m:nor/>
                  <m:sty m:val="p"/>
                </m:rPr>
                <m:t>at </m:t>
              </m:r>
              <m:r>
                <m:t>y</m:t>
              </m:r>
              <m:r>
                <m:rPr>
                  <m:sty m:val="p"/>
                </m:rPr>
                <m:t>=</m:t>
              </m:r>
              <m:r>
                <m:t>H</m:t>
              </m:r>
            </m:e>
          </m:borderBox>
        </m:oMath>
      </m:oMathPara>
    </w:p>
    <w:p>
      <w:pPr>
        <w:pStyle w:val="FirstParagraph"/>
      </w:pPr>
      <w:r>
        <w:t xml:space="preserve">At the interface between the immiscible liquids, the velocity is continuous. Using Equation (4.6)</w:t>
      </w:r>
    </w:p>
    <w:p>
      <w:pPr>
        <w:pStyle w:val="BodyText"/>
      </w:pPr>
      <m:oMathPara>
        <m:oMathParaPr>
          <m:jc m:val="center"/>
        </m:oMathParaPr>
        <m:oMath>
          <m:sSub>
            <m:e>
              <m:d>
                <m:dPr>
                  <m:begChr m:val="("/>
                  <m:sepChr m:val=""/>
                  <m:endChr m:val=")"/>
                  <m:grow/>
                </m:dPr>
                <m:e>
                  <m:sSub>
                    <m:e>
                      <m:r>
                        <m:t>v</m:t>
                      </m:r>
                    </m:e>
                    <m:sub>
                      <m:r>
                        <m:t>i</m:t>
                      </m:r>
                    </m:sub>
                  </m:sSub>
                </m:e>
              </m:d>
            </m:e>
            <m:sub>
              <m:r>
                <m:rPr>
                  <m:nor/>
                  <m:sty m:val="p"/>
                </m:rPr>
                <m:t>f1</m:t>
              </m:r>
            </m:sub>
          </m:sSub>
          <m:r>
            <m:rPr>
              <m:sty m:val="p"/>
            </m:rPr>
            <m:t>=</m:t>
          </m:r>
          <m:sSub>
            <m:e>
              <m:d>
                <m:dPr>
                  <m:begChr m:val="("/>
                  <m:sepChr m:val=""/>
                  <m:endChr m:val=")"/>
                  <m:grow/>
                </m:dPr>
                <m:e>
                  <m:sSub>
                    <m:e>
                      <m:r>
                        <m:t>v</m:t>
                      </m:r>
                    </m:e>
                    <m:sub>
                      <m:r>
                        <m:t>i</m:t>
                      </m:r>
                    </m:sub>
                  </m:sSub>
                </m:e>
              </m:d>
            </m:e>
            <m:sub>
              <m:r>
                <m:rPr>
                  <m:nor/>
                  <m:sty m:val="p"/>
                </m:rPr>
                <m:t>f2</m:t>
              </m:r>
            </m:sub>
          </m:sSub>
        </m:oMath>
      </m:oMathPara>
    </w:p>
    <w:p>
      <w:pPr>
        <w:pStyle w:val="FirstParagraph"/>
      </w:pPr>
      <w:r>
        <w:t xml:space="preserve">With</w:t>
      </w:r>
      <w:r>
        <w:t xml:space="preserve"> </w:t>
      </w:r>
      <m:oMath>
        <m:r>
          <m:t>i</m:t>
        </m:r>
        <m:r>
          <m:rPr>
            <m:sty m:val="p"/>
          </m:rPr>
          <m:t>=</m:t>
        </m:r>
        <m:r>
          <m:t>x</m:t>
        </m:r>
      </m:oMath>
      <w:r>
        <w:t xml:space="preserve"> </w:t>
      </w:r>
      <w:r>
        <w:t xml:space="preserve">for the only nonzero velocity component</w:t>
      </w:r>
    </w:p>
    <w:p>
      <w:pPr>
        <w:pStyle w:val="BodyText"/>
      </w:pPr>
      <m:oMathPara>
        <m:oMathParaPr>
          <m:jc m:val="center"/>
        </m:oMathParaPr>
        <m:oMath>
          <m:borderBox>
            <m:e>
              <m:sSub>
                <m:e>
                  <m:r>
                    <m:t>v</m:t>
                  </m:r>
                </m:e>
                <m:sub>
                  <m:r>
                    <m:t>x</m:t>
                  </m:r>
                  <m:r>
                    <m:rPr>
                      <m:sty m:val="p"/>
                    </m:rPr>
                    <m:t>,</m:t>
                  </m:r>
                  <m:r>
                    <m:t>1</m:t>
                  </m:r>
                </m:sub>
              </m:sSub>
              <m:r>
                <m:rPr>
                  <m:sty m:val="p"/>
                </m:rPr>
                <m:t>=</m:t>
              </m:r>
              <m:sSub>
                <m:e>
                  <m:r>
                    <m:t>v</m:t>
                  </m:r>
                </m:e>
                <m:sub>
                  <m:r>
                    <m:t>x</m:t>
                  </m:r>
                  <m:r>
                    <m:rPr>
                      <m:sty m:val="p"/>
                    </m:rPr>
                    <m:t>,</m:t>
                  </m:r>
                  <m:r>
                    <m:t>2</m:t>
                  </m:r>
                </m:sub>
              </m:sSub>
              <m:r>
                <m:t> </m:t>
              </m:r>
              <m:r>
                <m:rPr>
                  <m:nor/>
                  <m:sty m:val="p"/>
                </m:rPr>
                <m:t>at </m:t>
              </m:r>
              <m:r>
                <m:t>y</m:t>
              </m:r>
              <m:r>
                <m:rPr>
                  <m:sty m:val="p"/>
                </m:rPr>
                <m:t>=</m:t>
              </m:r>
              <m:r>
                <m:t>h</m:t>
              </m:r>
            </m:e>
          </m:borderBox>
        </m:oMath>
      </m:oMathPara>
    </w:p>
    <w:p>
      <w:pPr>
        <w:pStyle w:val="FirstParagraph"/>
      </w:pPr>
      <w:r>
        <w:t xml:space="preserve">The shear stress is also continuous at the interface. Using Equation (4.7)</w:t>
      </w:r>
    </w:p>
    <w:p>
      <w:pPr>
        <w:pStyle w:val="BodyText"/>
      </w:pPr>
      <m:oMathPara>
        <m:oMathParaPr>
          <m:jc m:val="center"/>
        </m:oMathParaPr>
        <m:oMath>
          <m:sSub>
            <m:e>
              <m:d>
                <m:dPr>
                  <m:begChr m:val="("/>
                  <m:sepChr m:val=""/>
                  <m:endChr m:val=")"/>
                  <m:grow/>
                </m:dPr>
                <m:e>
                  <m:sSub>
                    <m:e>
                      <m:r>
                        <m:t>τ</m:t>
                      </m:r>
                    </m:e>
                    <m:sub>
                      <m:r>
                        <m:t>n</m:t>
                      </m:r>
                      <m:r>
                        <m:t>i</m:t>
                      </m:r>
                    </m:sub>
                  </m:sSub>
                </m:e>
              </m:d>
            </m:e>
            <m:sub>
              <m:r>
                <m:rPr>
                  <m:nor/>
                  <m:sty m:val="p"/>
                </m:rPr>
                <m:t>f1</m:t>
              </m:r>
            </m:sub>
          </m:sSub>
          <m:r>
            <m:rPr>
              <m:sty m:val="p"/>
            </m:rPr>
            <m:t>=</m:t>
          </m:r>
          <m:sSub>
            <m:e>
              <m:d>
                <m:dPr>
                  <m:begChr m:val="("/>
                  <m:sepChr m:val=""/>
                  <m:endChr m:val=")"/>
                  <m:grow/>
                </m:dPr>
                <m:e>
                  <m:sSub>
                    <m:e>
                      <m:r>
                        <m:t>τ</m:t>
                      </m:r>
                    </m:e>
                    <m:sub>
                      <m:r>
                        <m:t>n</m:t>
                      </m:r>
                      <m:r>
                        <m:t>i</m:t>
                      </m:r>
                    </m:sub>
                  </m:sSub>
                </m:e>
              </m:d>
            </m:e>
            <m:sub>
              <m:r>
                <m:rPr>
                  <m:nor/>
                  <m:sty m:val="p"/>
                </m:rPr>
                <m:t>f2</m:t>
              </m:r>
            </m:sub>
          </m:sSub>
        </m:oMath>
      </m:oMathPara>
    </w:p>
    <w:p>
      <w:pPr>
        <w:pStyle w:val="FirstParagraph"/>
      </w:pPr>
      <w:r>
        <w:t xml:space="preserve">The interface normal is the</w:t>
      </w:r>
      <w:r>
        <w:t xml:space="preserve"> </w:t>
      </w:r>
      <m:oMath>
        <m:r>
          <m:t>y</m:t>
        </m:r>
      </m:oMath>
      <w:r>
        <w:t xml:space="preserve">-direction, so</w:t>
      </w:r>
      <w:r>
        <w:t xml:space="preserve"> </w:t>
      </w:r>
      <m:oMath>
        <m:r>
          <m:t>n</m:t>
        </m:r>
        <m:r>
          <m:rPr>
            <m:sty m:val="p"/>
          </m:rPr>
          <m:t>=</m:t>
        </m:r>
        <m:r>
          <m:t>y</m:t>
        </m:r>
      </m:oMath>
      <w:r>
        <w:t xml:space="preserve">, and the stress acts in the</w:t>
      </w:r>
      <w:r>
        <w:t xml:space="preserve"> </w:t>
      </w:r>
      <m:oMath>
        <m:r>
          <m:t>x</m:t>
        </m:r>
      </m:oMath>
      <w:r>
        <w:t xml:space="preserve">-direction, so</w:t>
      </w:r>
      <w:r>
        <w:t xml:space="preserve"> </w:t>
      </w:r>
      <m:oMath>
        <m:r>
          <m:t>i</m:t>
        </m:r>
        <m:r>
          <m:rPr>
            <m:sty m:val="p"/>
          </m:rPr>
          <m:t>=</m:t>
        </m:r>
        <m:r>
          <m:t>x</m:t>
        </m:r>
      </m:oMath>
    </w:p>
    <w:p>
      <w:pPr>
        <w:pStyle w:val="BodyText"/>
      </w:pPr>
      <m:oMathPara>
        <m:oMathParaPr>
          <m:jc m:val="center"/>
        </m:oMathParaPr>
        <m:oMath>
          <m:borderBox>
            <m:e>
              <m:sSub>
                <m:e>
                  <m:d>
                    <m:dPr>
                      <m:begChr m:val="("/>
                      <m:sepChr m:val=""/>
                      <m:endChr m:val=")"/>
                      <m:grow/>
                    </m:dPr>
                    <m:e>
                      <m:sSub>
                        <m:e>
                          <m:r>
                            <m:t>τ</m:t>
                          </m:r>
                        </m:e>
                        <m:sub>
                          <m:r>
                            <m:t>y</m:t>
                          </m:r>
                          <m:r>
                            <m:t>x</m:t>
                          </m:r>
                        </m:sub>
                      </m:sSub>
                    </m:e>
                  </m:d>
                </m:e>
                <m:sub>
                  <m:r>
                    <m:t>1</m:t>
                  </m:r>
                </m:sub>
              </m:sSub>
              <m:r>
                <m:rPr>
                  <m:sty m:val="p"/>
                </m:rPr>
                <m:t>=</m:t>
              </m:r>
              <m:sSub>
                <m:e>
                  <m:d>
                    <m:dPr>
                      <m:begChr m:val="("/>
                      <m:sepChr m:val=""/>
                      <m:endChr m:val=")"/>
                      <m:grow/>
                    </m:dPr>
                    <m:e>
                      <m:sSub>
                        <m:e>
                          <m:r>
                            <m:t>τ</m:t>
                          </m:r>
                        </m:e>
                        <m:sub>
                          <m:r>
                            <m:t>y</m:t>
                          </m:r>
                          <m:r>
                            <m:t>x</m:t>
                          </m:r>
                        </m:sub>
                      </m:sSub>
                    </m:e>
                  </m:d>
                </m:e>
                <m:sub>
                  <m:r>
                    <m:t>2</m:t>
                  </m:r>
                </m:sub>
              </m:sSub>
              <m:r>
                <m:t> </m:t>
              </m:r>
              <m:r>
                <m:rPr>
                  <m:nor/>
                  <m:sty m:val="p"/>
                </m:rPr>
                <m:t>at </m:t>
              </m:r>
              <m:r>
                <m:t>y</m:t>
              </m:r>
              <m:r>
                <m:rPr>
                  <m:sty m:val="p"/>
                </m:rPr>
                <m:t>=</m:t>
              </m:r>
              <m:r>
                <m:t>h</m:t>
              </m:r>
            </m:e>
          </m:borderBox>
        </m:oMath>
      </m:oMathPara>
    </w:p>
    <w:p>
      <w:pPr>
        <w:pStyle w:val="FirstParagraph"/>
      </w:pPr>
      <w:r>
        <w:rPr>
          <w:b/>
          <w:bCs/>
        </w:rPr>
        <w:t xml:space="preserve">Four boundary conditions are required</w:t>
      </w:r>
      <w:r>
        <w:t xml:space="preserve">, two for each layer, because each layer’s velocity profile has two unknown constants of integration.</w:t>
      </w:r>
    </w:p>
    <w:bookmarkEnd w:id="13"/>
    <w:bookmarkStart w:id="14" w:name="X415d4ce516eba7146457c4beb36ad4d2da86bd5"/>
    <w:p>
      <w:pPr>
        <w:pStyle w:val="Heading2"/>
      </w:pPr>
      <w:r>
        <w:t xml:space="preserve">c Explain why velocity and shear stress are continuous at the interface</w:t>
      </w:r>
    </w:p>
    <w:p>
      <w:pPr>
        <w:pStyle w:val="FirstParagraph"/>
      </w:pPr>
      <w:r>
        <w:rPr>
          <w:b/>
          <w:bCs/>
        </w:rPr>
        <w:t xml:space="preserve">Velocity continuity.</w:t>
      </w:r>
      <w:r>
        <w:t xml:space="preserve"> </w:t>
      </w:r>
      <w:r>
        <w:t xml:space="preserve">The two fluids stay in contact at the interface: they neither separate nor pass through each other. The molecules of the two fluids at the interface interact in the same way that a fluid interacts with a solid wall under the no-slip condition, so there is no finite relative sliding between the two layers. A velocity jump would need an infinite velocity gradient, which in a viscous fluid would produce an infinite shear stress.</w:t>
      </w:r>
    </w:p>
    <w:p>
      <w:pPr>
        <w:pStyle w:val="BodyText"/>
      </w:pPr>
      <w:r>
        <w:rPr>
          <w:b/>
          <w:bCs/>
        </w:rPr>
        <w:t xml:space="preserve">Shear-stress continuity.</w:t>
      </w:r>
      <w:r>
        <w:t xml:space="preserve"> </w:t>
      </w:r>
      <w:r>
        <w:t xml:space="preserve">Consider a thin control volume that straddles the interface. As its thickness shrinks to zero, its mass and momentum vanish, so the tangential forces acting on its two faces must balance. The tangential force that fluid 1 exerts on fluid 2 must therefore be equal and opposite to the force that fluid 2 exerts on fluid 1, by Newton’s third law. An unbalanced shear stress would give a massless interface an infinite acceleration.</w:t>
      </w:r>
    </w:p>
    <w:p>
      <w:pPr>
        <w:pStyle w:val="AnswerBox"/>
        <w:pBdr>
          <w:top w:val="single" w:sz="8" w:space="4" w:color="000000"/>
          <w:left w:val="single" w:sz="8" w:space="4" w:color="000000"/>
          <w:bottom w:val="single" w:sz="8" w:space="4" w:color="000000"/>
          <w:right w:val="single" w:sz="8" w:space="4" w:color="000000"/>
        </w:pBdr>
      </w:pPr>
      <w:r>
        <w:t xml:space="preserve">Velocity is continuous because the fluids remain in contact without slipping, separating or interpenetrating. Shear stress is continuous because the massless interface cannot sustain a net tangential force: the traction fluid 1 exerts on fluid 2 is equal and opposite to the traction fluid 2 exerts on fluid 1.</w:t>
      </w:r>
    </w:p>
    <w:bookmarkEnd w:id="14"/>
    <w:bookmarkStart w:id="15" w:name="X7dadaf59d1a87fa28eeb5d40829a3b6f7efe07f"/>
    <w:p>
      <w:pPr>
        <w:pStyle w:val="Heading2"/>
      </w:pPr>
      <w:r>
        <w:t xml:space="preserve">d Determine whether the velocity gradient is continuous when μ₁ ≠ μ₂</w:t>
      </w:r>
    </w:p>
    <w:p>
      <w:pPr>
        <w:pStyle w:val="FirstParagraph"/>
      </w:pPr>
      <w:r>
        <w:t xml:space="preserve">For a Newtonian fluid, the shear stress is proportional to the velocity gradient. Using Equation (2.13) with</w:t>
      </w:r>
      <w:r>
        <w:t xml:space="preserve"> </w:t>
      </w:r>
      <m:oMath>
        <m:r>
          <m:t>μ</m:t>
        </m:r>
      </m:oMath>
      <w:r>
        <w:t xml:space="preserve"> </w:t>
      </w:r>
      <w:r>
        <w:t xml:space="preserve">for the viscosity</w:t>
      </w:r>
    </w:p>
    <w:p>
      <w:pPr>
        <w:pStyle w:val="BodyText"/>
      </w:pPr>
      <m:oMathPara>
        <m:oMathParaPr>
          <m:jc m:val="center"/>
        </m:oMathParaPr>
        <m:oMath>
          <m:sSub>
            <m:e>
              <m:r>
                <m:t>τ</m:t>
              </m:r>
            </m:e>
            <m:sub>
              <m:r>
                <m:t>y</m:t>
              </m:r>
              <m:r>
                <m:t>x</m:t>
              </m:r>
            </m:sub>
          </m:sSub>
          <m:r>
            <m:rPr>
              <m:sty m:val="p"/>
            </m:rPr>
            <m:t>=</m:t>
          </m:r>
          <m:r>
            <m:rPr>
              <m:sty m:val="p"/>
            </m:rPr>
            <m:t>−</m:t>
          </m:r>
          <m:r>
            <m:t>μ</m:t>
          </m:r>
          <m:f>
            <m:fPr>
              <m:type m:val="bar"/>
            </m:fPr>
            <m:num>
              <m:r>
                <m:t>d</m:t>
              </m:r>
              <m:sSub>
                <m:e>
                  <m:r>
                    <m:t>v</m:t>
                  </m:r>
                </m:e>
                <m:sub>
                  <m:r>
                    <m:t>x</m:t>
                  </m:r>
                </m:sub>
              </m:sSub>
            </m:num>
            <m:den>
              <m:r>
                <m:t>d</m:t>
              </m:r>
              <m:r>
                <m:t>y</m:t>
              </m:r>
            </m:den>
          </m:f>
        </m:oMath>
      </m:oMathPara>
    </w:p>
    <w:p>
      <w:pPr>
        <w:pStyle w:val="FirstParagraph"/>
      </w:pPr>
      <w:r>
        <w:t xml:space="preserve">Apply this to each fluid and substitute into the shear-stress continuity condition from Equation (4.7) at</w:t>
      </w:r>
      <w:r>
        <w:t xml:space="preserve"> </w:t>
      </w:r>
      <m:oMath>
        <m:r>
          <m:t>y</m:t>
        </m:r>
        <m:r>
          <m:rPr>
            <m:sty m:val="p"/>
          </m:rPr>
          <m:t>=</m:t>
        </m:r>
        <m:r>
          <m:t>h</m:t>
        </m:r>
      </m:oMath>
    </w:p>
    <w:p>
      <w:pPr>
        <w:pStyle w:val="BodyText"/>
      </w:pPr>
      <m:oMathPara>
        <m:oMathParaPr>
          <m:jc m:val="center"/>
        </m:oMathParaPr>
        <m:oMath>
          <m:r>
            <m:rPr>
              <m:sty m:val="p"/>
            </m:rPr>
            <m:t>−</m:t>
          </m:r>
          <m:sSub>
            <m:e>
              <m:r>
                <m:t>μ</m:t>
              </m:r>
            </m:e>
            <m:sub>
              <m:r>
                <m:t>1</m:t>
              </m:r>
            </m:sub>
          </m:sSub>
          <m:sSub>
            <m:e>
              <m:d>
                <m:dPr>
                  <m:begChr m:val="("/>
                  <m:sepChr m:val=""/>
                  <m:endChr m:val=")"/>
                  <m:grow/>
                </m:dPr>
                <m:e>
                  <m:f>
                    <m:fPr>
                      <m:type m:val="bar"/>
                    </m:fPr>
                    <m:num>
                      <m:r>
                        <m:t>d</m:t>
                      </m:r>
                      <m:sSub>
                        <m:e>
                          <m:r>
                            <m:t>v</m:t>
                          </m:r>
                        </m:e>
                        <m:sub>
                          <m:r>
                            <m:t>x</m:t>
                          </m:r>
                        </m:sub>
                      </m:sSub>
                    </m:num>
                    <m:den>
                      <m:r>
                        <m:t>d</m:t>
                      </m:r>
                      <m:r>
                        <m:t>y</m:t>
                      </m:r>
                    </m:den>
                  </m:f>
                </m:e>
              </m:d>
            </m:e>
            <m:sub>
              <m:r>
                <m:t>1</m:t>
              </m:r>
            </m:sub>
          </m:sSub>
          <m:r>
            <m:rPr>
              <m:sty m:val="p"/>
            </m:rPr>
            <m:t>=</m:t>
          </m:r>
          <m:r>
            <m:rPr>
              <m:sty m:val="p"/>
            </m:rPr>
            <m:t>−</m:t>
          </m:r>
          <m:sSub>
            <m:e>
              <m:r>
                <m:t>μ</m:t>
              </m:r>
            </m:e>
            <m:sub>
              <m:r>
                <m:t>2</m:t>
              </m:r>
            </m:sub>
          </m:sSub>
          <m:sSub>
            <m:e>
              <m:d>
                <m:dPr>
                  <m:begChr m:val="("/>
                  <m:sepChr m:val=""/>
                  <m:endChr m:val=")"/>
                  <m:grow/>
                </m:dPr>
                <m:e>
                  <m:f>
                    <m:fPr>
                      <m:type m:val="bar"/>
                    </m:fPr>
                    <m:num>
                      <m:r>
                        <m:t>d</m:t>
                      </m:r>
                      <m:sSub>
                        <m:e>
                          <m:r>
                            <m:t>v</m:t>
                          </m:r>
                        </m:e>
                        <m:sub>
                          <m:r>
                            <m:t>x</m:t>
                          </m:r>
                        </m:sub>
                      </m:sSub>
                    </m:num>
                    <m:den>
                      <m:r>
                        <m:t>d</m:t>
                      </m:r>
                      <m:r>
                        <m:t>y</m:t>
                      </m:r>
                    </m:den>
                  </m:f>
                </m:e>
              </m:d>
            </m:e>
            <m:sub>
              <m:r>
                <m:t>2</m:t>
              </m:r>
            </m:sub>
          </m:sSub>
        </m:oMath>
      </m:oMathPara>
    </w:p>
    <w:p>
      <w:pPr>
        <w:pStyle w:val="FirstParagraph"/>
      </w:pPr>
      <w:r>
        <w:t xml:space="preserve">Cancel the common negative sign</w:t>
      </w:r>
    </w:p>
    <w:p>
      <w:pPr>
        <w:pStyle w:val="BodyText"/>
      </w:pPr>
      <m:oMathPara>
        <m:oMathParaPr>
          <m:jc m:val="center"/>
        </m:oMathParaPr>
        <m:oMath>
          <m:sSub>
            <m:e>
              <m:r>
                <m:t>μ</m:t>
              </m:r>
            </m:e>
            <m:sub>
              <m:r>
                <m:t>1</m:t>
              </m:r>
            </m:sub>
          </m:sSub>
          <m:sSub>
            <m:e>
              <m:d>
                <m:dPr>
                  <m:begChr m:val="("/>
                  <m:sepChr m:val=""/>
                  <m:endChr m:val=")"/>
                  <m:grow/>
                </m:dPr>
                <m:e>
                  <m:f>
                    <m:fPr>
                      <m:type m:val="bar"/>
                    </m:fPr>
                    <m:num>
                      <m:r>
                        <m:t>d</m:t>
                      </m:r>
                      <m:sSub>
                        <m:e>
                          <m:r>
                            <m:t>v</m:t>
                          </m:r>
                        </m:e>
                        <m:sub>
                          <m:r>
                            <m:t>x</m:t>
                          </m:r>
                        </m:sub>
                      </m:sSub>
                    </m:num>
                    <m:den>
                      <m:r>
                        <m:t>d</m:t>
                      </m:r>
                      <m:r>
                        <m:t>y</m:t>
                      </m:r>
                    </m:den>
                  </m:f>
                </m:e>
              </m:d>
            </m:e>
            <m:sub>
              <m:r>
                <m:t>1</m:t>
              </m:r>
            </m:sub>
          </m:sSub>
          <m:r>
            <m:rPr>
              <m:sty m:val="p"/>
            </m:rPr>
            <m:t>=</m:t>
          </m:r>
          <m:sSub>
            <m:e>
              <m:r>
                <m:t>μ</m:t>
              </m:r>
            </m:e>
            <m:sub>
              <m:r>
                <m:t>2</m:t>
              </m:r>
            </m:sub>
          </m:sSub>
          <m:sSub>
            <m:e>
              <m:d>
                <m:dPr>
                  <m:begChr m:val="("/>
                  <m:sepChr m:val=""/>
                  <m:endChr m:val=")"/>
                  <m:grow/>
                </m:dPr>
                <m:e>
                  <m:f>
                    <m:fPr>
                      <m:type m:val="bar"/>
                    </m:fPr>
                    <m:num>
                      <m:r>
                        <m:t>d</m:t>
                      </m:r>
                      <m:sSub>
                        <m:e>
                          <m:r>
                            <m:t>v</m:t>
                          </m:r>
                        </m:e>
                        <m:sub>
                          <m:r>
                            <m:t>x</m:t>
                          </m:r>
                        </m:sub>
                      </m:sSub>
                    </m:num>
                    <m:den>
                      <m:r>
                        <m:t>d</m:t>
                      </m:r>
                      <m:r>
                        <m:t>y</m:t>
                      </m:r>
                    </m:den>
                  </m:f>
                </m:e>
              </m:d>
            </m:e>
            <m:sub>
              <m:r>
                <m:t>2</m:t>
              </m:r>
            </m:sub>
          </m:sSub>
        </m:oMath>
      </m:oMathPara>
    </w:p>
    <w:p>
      <w:pPr>
        <w:pStyle w:val="FirstParagraph"/>
      </w:pPr>
      <w:r>
        <w:t xml:space="preserve">Divide both sides by</w:t>
      </w:r>
      <w:r>
        <w:t xml:space="preserve"> </w:t>
      </w:r>
      <m:oMath>
        <m:sSub>
          <m:e>
            <m:r>
              <m:t>μ</m:t>
            </m:r>
          </m:e>
          <m:sub>
            <m:r>
              <m:t>1</m:t>
            </m:r>
          </m:sub>
        </m:sSub>
        <m:sSub>
          <m:e>
            <m:d>
              <m:dPr>
                <m:begChr m:val="("/>
                <m:sepChr m:val=""/>
                <m:endChr m:val=")"/>
                <m:grow/>
              </m:dPr>
              <m:e>
                <m:r>
                  <m:t>d</m:t>
                </m:r>
                <m:sSub>
                  <m:e>
                    <m:r>
                      <m:t>v</m:t>
                    </m:r>
                  </m:e>
                  <m:sub>
                    <m:r>
                      <m:t>x</m:t>
                    </m:r>
                  </m:sub>
                </m:sSub>
                <m:r>
                  <m:rPr>
                    <m:sty m:val="p"/>
                  </m:rPr>
                  <m:t>/</m:t>
                </m:r>
                <m:r>
                  <m:t>d</m:t>
                </m:r>
                <m:r>
                  <m:t>y</m:t>
                </m:r>
              </m:e>
            </m:d>
          </m:e>
          <m:sub>
            <m:r>
              <m:t>2</m:t>
            </m:r>
          </m:sub>
        </m:sSub>
      </m:oMath>
      <w:r>
        <w:t xml:space="preserve"> </w:t>
      </w:r>
      <w:r>
        <w:t xml:space="preserve">to express the ratio of the two gradients</w:t>
      </w:r>
    </w:p>
    <w:p>
      <w:pPr>
        <w:pStyle w:val="BodyText"/>
      </w:pPr>
      <m:oMathPara>
        <m:oMathParaPr>
          <m:jc m:val="center"/>
        </m:oMathParaPr>
        <m:oMath>
          <m:f>
            <m:fPr>
              <m:type m:val="bar"/>
            </m:fPr>
            <m:num>
              <m:sSub>
                <m:e>
                  <m:d>
                    <m:dPr>
                      <m:begChr m:val="("/>
                      <m:sepChr m:val=""/>
                      <m:endChr m:val=")"/>
                      <m:grow/>
                    </m:dPr>
                    <m:e>
                      <m:r>
                        <m:t>d</m:t>
                      </m:r>
                      <m:sSub>
                        <m:e>
                          <m:r>
                            <m:t>v</m:t>
                          </m:r>
                        </m:e>
                        <m:sub>
                          <m:r>
                            <m:t>x</m:t>
                          </m:r>
                        </m:sub>
                      </m:sSub>
                      <m:r>
                        <m:rPr>
                          <m:sty m:val="p"/>
                        </m:rPr>
                        <m:t>/</m:t>
                      </m:r>
                      <m:r>
                        <m:t>d</m:t>
                      </m:r>
                      <m:r>
                        <m:t>y</m:t>
                      </m:r>
                    </m:e>
                  </m:d>
                </m:e>
                <m:sub>
                  <m:r>
                    <m:t>1</m:t>
                  </m:r>
                </m:sub>
              </m:sSub>
            </m:num>
            <m:den>
              <m:sSub>
                <m:e>
                  <m:d>
                    <m:dPr>
                      <m:begChr m:val="("/>
                      <m:sepChr m:val=""/>
                      <m:endChr m:val=")"/>
                      <m:grow/>
                    </m:dPr>
                    <m:e>
                      <m:r>
                        <m:t>d</m:t>
                      </m:r>
                      <m:sSub>
                        <m:e>
                          <m:r>
                            <m:t>v</m:t>
                          </m:r>
                        </m:e>
                        <m:sub>
                          <m:r>
                            <m:t>x</m:t>
                          </m:r>
                        </m:sub>
                      </m:sSub>
                      <m:r>
                        <m:rPr>
                          <m:sty m:val="p"/>
                        </m:rPr>
                        <m:t>/</m:t>
                      </m:r>
                      <m:r>
                        <m:t>d</m:t>
                      </m:r>
                      <m:r>
                        <m:t>y</m:t>
                      </m:r>
                    </m:e>
                  </m:d>
                </m:e>
                <m:sub>
                  <m:r>
                    <m:t>2</m:t>
                  </m:r>
                </m:sub>
              </m:sSub>
            </m:den>
          </m:f>
          <m:r>
            <m:rPr>
              <m:sty m:val="p"/>
            </m:rPr>
            <m:t>=</m:t>
          </m:r>
          <m:f>
            <m:fPr>
              <m:type m:val="bar"/>
            </m:fPr>
            <m:num>
              <m:sSub>
                <m:e>
                  <m:r>
                    <m:t>μ</m:t>
                  </m:r>
                </m:e>
                <m:sub>
                  <m:r>
                    <m:t>2</m:t>
                  </m:r>
                </m:sub>
              </m:sSub>
            </m:num>
            <m:den>
              <m:sSub>
                <m:e>
                  <m:r>
                    <m:t>μ</m:t>
                  </m:r>
                </m:e>
                <m:sub>
                  <m:r>
                    <m:t>1</m:t>
                  </m:r>
                </m:sub>
              </m:sSub>
            </m:den>
          </m:f>
        </m:oMath>
      </m:oMathPara>
    </w:p>
    <w:p>
      <w:pPr>
        <w:pStyle w:val="FirstParagraph"/>
      </w:pPr>
      <w:r>
        <w:t xml:space="preserve">If</w:t>
      </w:r>
      <w:r>
        <w:t xml:space="preserve"> </w:t>
      </w:r>
      <m:oMath>
        <m:sSub>
          <m:e>
            <m:r>
              <m:t>μ</m:t>
            </m:r>
          </m:e>
          <m:sub>
            <m:r>
              <m:t>1</m:t>
            </m:r>
          </m:sub>
        </m:sSub>
        <m:r>
          <m:rPr>
            <m:sty m:val="p"/>
          </m:rPr>
          <m:t>≠</m:t>
        </m:r>
        <m:sSub>
          <m:e>
            <m:r>
              <m:t>μ</m:t>
            </m:r>
          </m:e>
          <m:sub>
            <m:r>
              <m:t>2</m:t>
            </m:r>
          </m:sub>
        </m:sSub>
      </m:oMath>
      <w:r>
        <w:t xml:space="preserve">, the right-hand side is not equal to 1, so</w:t>
      </w:r>
    </w:p>
    <w:p>
      <w:pPr>
        <w:pStyle w:val="BodyText"/>
      </w:pPr>
      <m:oMathPara>
        <m:oMathParaPr>
          <m:jc m:val="center"/>
        </m:oMathParaPr>
        <m:oMath>
          <m:borderBox>
            <m:e>
              <m:sSub>
                <m:e>
                  <m:d>
                    <m:dPr>
                      <m:begChr m:val="("/>
                      <m:sepChr m:val=""/>
                      <m:endChr m:val=")"/>
                      <m:grow/>
                    </m:dPr>
                    <m:e>
                      <m:f>
                        <m:fPr>
                          <m:type m:val="bar"/>
                        </m:fPr>
                        <m:num>
                          <m:r>
                            <m:t>d</m:t>
                          </m:r>
                          <m:sSub>
                            <m:e>
                              <m:r>
                                <m:t>v</m:t>
                              </m:r>
                            </m:e>
                            <m:sub>
                              <m:r>
                                <m:t>x</m:t>
                              </m:r>
                            </m:sub>
                          </m:sSub>
                        </m:num>
                        <m:den>
                          <m:r>
                            <m:t>d</m:t>
                          </m:r>
                          <m:r>
                            <m:t>y</m:t>
                          </m:r>
                        </m:den>
                      </m:f>
                    </m:e>
                  </m:d>
                </m:e>
                <m:sub>
                  <m:r>
                    <m:t>1</m:t>
                  </m:r>
                </m:sub>
              </m:sSub>
              <m:r>
                <m:rPr>
                  <m:sty m:val="p"/>
                </m:rPr>
                <m:t>≠</m:t>
              </m:r>
              <m:sSub>
                <m:e>
                  <m:d>
                    <m:dPr>
                      <m:begChr m:val="("/>
                      <m:sepChr m:val=""/>
                      <m:endChr m:val=")"/>
                      <m:grow/>
                    </m:dPr>
                    <m:e>
                      <m:f>
                        <m:fPr>
                          <m:type m:val="bar"/>
                        </m:fPr>
                        <m:num>
                          <m:r>
                            <m:t>d</m:t>
                          </m:r>
                          <m:sSub>
                            <m:e>
                              <m:r>
                                <m:t>v</m:t>
                              </m:r>
                            </m:e>
                            <m:sub>
                              <m:r>
                                <m:t>x</m:t>
                              </m:r>
                            </m:sub>
                          </m:sSub>
                        </m:num>
                        <m:den>
                          <m:r>
                            <m:t>d</m:t>
                          </m:r>
                          <m:r>
                            <m:t>y</m:t>
                          </m:r>
                        </m:den>
                      </m:f>
                    </m:e>
                  </m:d>
                </m:e>
                <m:sub>
                  <m:r>
                    <m:t>2</m:t>
                  </m:r>
                </m:sub>
              </m:sSub>
              <m:r>
                <m:t> </m:t>
              </m:r>
              <m:r>
                <m:rPr>
                  <m:nor/>
                  <m:sty m:val="p"/>
                </m:rPr>
                <m:t>at </m:t>
              </m:r>
              <m:r>
                <m:t>y</m:t>
              </m:r>
              <m:r>
                <m:rPr>
                  <m:sty m:val="p"/>
                </m:rPr>
                <m:t>=</m:t>
              </m:r>
              <m:r>
                <m:t>h</m:t>
              </m:r>
              <m:r>
                <m:t> </m:t>
              </m:r>
              <m:r>
                <m:rPr>
                  <m:nor/>
                  <m:sty m:val="p"/>
                </m:rPr>
                <m:t>when </m:t>
              </m:r>
              <m:sSub>
                <m:e>
                  <m:r>
                    <m:t>μ</m:t>
                  </m:r>
                </m:e>
                <m:sub>
                  <m:r>
                    <m:t>1</m:t>
                  </m:r>
                </m:sub>
              </m:sSub>
              <m:r>
                <m:rPr>
                  <m:sty m:val="p"/>
                </m:rPr>
                <m:t>≠</m:t>
              </m:r>
              <m:sSub>
                <m:e>
                  <m:r>
                    <m:t>μ</m:t>
                  </m:r>
                </m:e>
                <m:sub>
                  <m:r>
                    <m:t>2</m:t>
                  </m:r>
                </m:sub>
              </m:sSub>
            </m:e>
          </m:borderBox>
        </m:oMath>
      </m:oMathPara>
    </w:p>
    <w:p>
      <w:pPr>
        <w:pStyle w:val="FirstParagraph"/>
      </w:pPr>
      <w:r>
        <w:rPr>
          <w:b/>
          <w:bCs/>
        </w:rPr>
        <w:t xml:space="preserve">The velocity gradient does not have to be continuous; it jumps at the interface.</w:t>
      </w:r>
      <w:r>
        <w:t xml:space="preserve"> </w:t>
      </w:r>
      <w:r>
        <w:t xml:space="preserve">Shear stress, not the velocity gradient, is the conserved quantity. The less viscous fluid must have the steeper velocity gradient to carry the same shear stress. The velocity itself is still continuous, so the profile has a kink at</w:t>
      </w:r>
      <w:r>
        <w:t xml:space="preserve"> </w:t>
      </w:r>
      <m:oMath>
        <m:r>
          <m:t>y</m:t>
        </m:r>
        <m:r>
          <m:rPr>
            <m:sty m:val="p"/>
          </m:rPr>
          <m:t>=</m:t>
        </m:r>
        <m:r>
          <m:t>h</m:t>
        </m:r>
      </m:oMath>
      <w:r>
        <w:t xml:space="preserve"> </w:t>
      </w:r>
      <w:r>
        <w:t xml:space="preserve">rather than a jump. The gradient is continuous only in the special case</w:t>
      </w:r>
      <w:r>
        <w:t xml:space="preserve"> </w:t>
      </w:r>
      <m:oMath>
        <m:sSub>
          <m:e>
            <m:r>
              <m:t>μ</m:t>
            </m:r>
          </m:e>
          <m:sub>
            <m:r>
              <m:t>1</m:t>
            </m:r>
          </m:sub>
        </m:sSub>
        <m:r>
          <m:rPr>
            <m:sty m:val="p"/>
          </m:rPr>
          <m:t>=</m:t>
        </m:r>
        <m:sSub>
          <m:e>
            <m:r>
              <m:t>μ</m:t>
            </m:r>
          </m:e>
          <m:sub>
            <m:r>
              <m:t>2</m:t>
            </m:r>
          </m:sub>
        </m:sSub>
      </m:oMath>
      <w:r>
        <w:t xml:space="preserve">.</w:t>
      </w:r>
    </w:p>
    <w:p>
      <w:pPr>
        <w:pStyle w:val="BodyText"/>
      </w:pPr>
      <w:r>
        <w:rPr>
          <w:b/>
          <w:bCs/>
        </w:rPr>
        <w:t xml:space="preserve">Model note:</w:t>
      </w:r>
      <w:r>
        <w:t xml:space="preserve"> </w:t>
      </w:r>
      <w:r>
        <w:t xml:space="preserve">With no applied pressure gradient, an</w:t>
      </w:r>
      <w:r>
        <w:t xml:space="preserve"> </w:t>
      </w:r>
      <m:oMath>
        <m:r>
          <m:t>x</m:t>
        </m:r>
      </m:oMath>
      <w:r>
        <w:t xml:space="preserve">-momentum balance on a thin fluid layer gives</w:t>
      </w:r>
      <w:r>
        <w:t xml:space="preserve"> </w:t>
      </w:r>
      <m:oMath>
        <m:r>
          <m:t>d</m:t>
        </m:r>
        <m:sSub>
          <m:e>
            <m:r>
              <m:t>τ</m:t>
            </m:r>
          </m:e>
          <m:sub>
            <m:r>
              <m:t>y</m:t>
            </m:r>
            <m:r>
              <m:t>x</m:t>
            </m:r>
          </m:sub>
        </m:sSub>
        <m:r>
          <m:rPr>
            <m:sty m:val="p"/>
          </m:rPr>
          <m:t>/</m:t>
        </m:r>
        <m:r>
          <m:t>d</m:t>
        </m:r>
        <m:r>
          <m:t>y</m:t>
        </m:r>
        <m:r>
          <m:rPr>
            <m:sty m:val="p"/>
          </m:rPr>
          <m:t>=</m:t>
        </m:r>
        <m:r>
          <m:t>0</m:t>
        </m:r>
      </m:oMath>
      <w:r>
        <w:t xml:space="preserve">. The shear stress is therefore the same constant throughout both fluids, and each velocity profile is linear. That is why the schematic shows two straight line segments that meet at</w:t>
      </w:r>
      <w:r>
        <w:t xml:space="preserve"> </w:t>
      </w:r>
      <m:oMath>
        <m:r>
          <m:t>y</m:t>
        </m:r>
        <m:r>
          <m:rPr>
            <m:sty m:val="p"/>
          </m:rPr>
          <m:t>=</m:t>
        </m:r>
        <m:r>
          <m:t>h</m:t>
        </m:r>
      </m:oMath>
      <w:r>
        <w:t xml:space="preserve"> </w:t>
      </w:r>
      <w:r>
        <w:t xml:space="preserve">with slopes in the ratio</w:t>
      </w:r>
      <w:r>
        <w:t xml:space="preserve"> </w:t>
      </w:r>
      <m:oMath>
        <m:sSub>
          <m:e>
            <m:r>
              <m:t>μ</m:t>
            </m:r>
          </m:e>
          <m:sub>
            <m:r>
              <m:t>2</m:t>
            </m:r>
          </m:sub>
        </m:sSub>
        <m:r>
          <m:rPr>
            <m:sty m:val="p"/>
          </m:rPr>
          <m:t>/</m:t>
        </m:r>
        <m:sSub>
          <m:e>
            <m:r>
              <m:t>μ</m:t>
            </m:r>
          </m:e>
          <m:sub>
            <m:r>
              <m:t>1</m:t>
            </m:r>
          </m:sub>
        </m:sSub>
      </m:oMath>
      <w:r>
        <w:t xml:space="preserve">.</w:t>
      </w:r>
    </w:p>
    <w:p>
      <w:pPr>
        <w:pStyle w:val="BodyText"/>
      </w:pPr>
      <w:r>
        <w:rPr>
          <w:b/>
          <w:bCs/>
        </w:rPr>
        <w:t xml:space="preserve">Check against the source solution:</w:t>
      </w:r>
      <w:r>
        <w:t xml:space="preserve"> </w:t>
      </w:r>
      <w:r>
        <w:t xml:space="preserve">the source writes the Newtonian law as</w:t>
      </w:r>
      <w:r>
        <w:t xml:space="preserve"> </w:t>
      </w:r>
      <m:oMath>
        <m:sSub>
          <m:e>
            <m:r>
              <m:t>τ</m:t>
            </m:r>
          </m:e>
          <m:sub>
            <m:r>
              <m:t>y</m:t>
            </m:r>
            <m:r>
              <m:t>x</m:t>
            </m:r>
          </m:sub>
        </m:sSub>
        <m:r>
          <m:rPr>
            <m:sty m:val="p"/>
          </m:rPr>
          <m:t>=</m:t>
        </m:r>
        <m:r>
          <m:t>μ</m:t>
        </m:r>
        <m:r>
          <m:t> </m:t>
        </m:r>
        <m:r>
          <m:t>d</m:t>
        </m:r>
        <m:sSub>
          <m:e>
            <m:r>
              <m:t>v</m:t>
            </m:r>
          </m:e>
          <m:sub>
            <m:r>
              <m:t>x</m:t>
            </m:r>
          </m:sub>
        </m:sSub>
        <m:r>
          <m:rPr>
            <m:sty m:val="p"/>
          </m:rPr>
          <m:t>/</m:t>
        </m:r>
        <m:r>
          <m:t>d</m:t>
        </m:r>
        <m:r>
          <m:t>y</m:t>
        </m:r>
      </m:oMath>
      <w:r>
        <w:t xml:space="preserve">, while the slides use</w:t>
      </w:r>
      <w:r>
        <w:t xml:space="preserve"> </w:t>
      </w:r>
      <m:oMath>
        <m:sSub>
          <m:e>
            <m:r>
              <m:t>τ</m:t>
            </m:r>
          </m:e>
          <m:sub>
            <m:r>
              <m:t>y</m:t>
            </m:r>
            <m:r>
              <m:t>x</m:t>
            </m:r>
          </m:sub>
        </m:sSub>
        <m:r>
          <m:rPr>
            <m:sty m:val="p"/>
          </m:rPr>
          <m:t>=</m:t>
        </m:r>
        <m:r>
          <m:rPr>
            <m:sty m:val="p"/>
          </m:rPr>
          <m:t>−</m:t>
        </m:r>
        <m:r>
          <m:t>μ</m:t>
        </m:r>
        <m:r>
          <m:t> </m:t>
        </m:r>
        <m:r>
          <m:t>d</m:t>
        </m:r>
        <m:sSub>
          <m:e>
            <m:r>
              <m:t>v</m:t>
            </m:r>
          </m:e>
          <m:sub>
            <m:r>
              <m:t>x</m:t>
            </m:r>
          </m:sub>
        </m:sSub>
        <m:r>
          <m:rPr>
            <m:sty m:val="p"/>
          </m:rPr>
          <m:t>/</m:t>
        </m:r>
        <m:r>
          <m:t>d</m:t>
        </m:r>
        <m:r>
          <m:t>y</m:t>
        </m:r>
      </m:oMath>
      <w:r>
        <w:t xml:space="preserve"> </w:t>
      </w:r>
      <w:r>
        <w:t xml:space="preserve">in Equation (2.13) and Equation (4.15). The negative sign cancels from both sides of the interface condition, so the source’s conclusion is unaffected.</w:t>
      </w:r>
    </w:p>
    <w:bookmarkEnd w:id="15"/>
    <w:sectPr>
      <w:pgSz w:h="15840" w:w="12240"/>
      <w:pgMar w:bottom="1008" w:left="1152" w:right="1152"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olor w:val="000000"/>
      <w:sz w:val="22"/>
    </w:rPr>
  </w:style>
  <w:style w:styleId="BodyText" w:type="paragraph">
    <w:name w:val="Body Text"/>
    <w:basedOn w:val="Normal"/>
    <w:link w:val="BodyTextChar"/>
    <w:pPr>
      <w:spacing w:after="120" w:before="180"/>
    </w:pPr>
    <w:qFormat/>
    <w:rPr>
      <w:rFonts w:ascii="Calibri" w:hAnsi="Calibri"/>
      <w:color w:val="000000"/>
      <w:sz w:val="22"/>
    </w:rPr>
  </w:style>
  <w:style w:customStyle="1" w:styleId="FirstParagraph" w:type="paragraph">
    <w:name w:val="First Paragraph"/>
    <w:basedOn w:val="BodyText"/>
    <w:next w:val="BodyText"/>
    <w:qFormat/>
    <w:pPr>
      <w:spacing w:after="120"/>
    </w:pPr>
    <w:rPr>
      <w:rFonts w:ascii="Calibri" w:hAnsi="Calibri"/>
      <w:color w:val="000000"/>
      <w:sz w:val="22"/>
    </w:rPr>
  </w:style>
  <w:style w:customStyle="1" w:styleId="Compact" w:type="paragraph">
    <w:name w:val="Compact"/>
    <w:basedOn w:val="BodyText"/>
    <w:qFormat/>
    <w:pPr>
      <w:spacing w:after="36" w:before="36"/>
    </w:pPr>
    <w:rPr>
      <w:rFonts w:ascii="Calibri" w:hAnsi="Calibri"/>
      <w:color w:val="00000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2"/>
      <w:szCs w:val="36"/>
    </w:rPr>
  </w:style>
  <w:style w:styleId="Subtitle" w:type="paragraph">
    <w:name w:val="Subtitle"/>
    <w:basedOn w:val="Title"/>
    <w:next w:val="BodyText"/>
    <w:qFormat/>
    <w:pPr>
      <w:keepNext/>
      <w:keepLines/>
      <w:spacing w:after="240" w:before="240"/>
      <w:jc w:val="center"/>
    </w:pPr>
    <w:rPr>
      <w:rFonts w:ascii="Calibri" w:hAnsi="Calibri"/>
      <w:color w:val="000000"/>
      <w:sz w:val="30"/>
      <w:szCs w:val="30"/>
    </w:rPr>
  </w:style>
  <w:style w:customStyle="1" w:styleId="Author" w:type="paragraph">
    <w:name w:val="Author"/>
    <w:next w:val="BodyText"/>
    <w:qFormat/>
    <w:pPr>
      <w:keepNext/>
      <w:keepLines/>
      <w:jc w:val="center"/>
    </w:pPr>
    <w:rPr>
      <w:rFonts w:ascii="Calibri" w:hAnsi="Calibri"/>
      <w:color w:val="000000"/>
    </w:rPr>
  </w:style>
  <w:style w:styleId="Date" w:type="paragraph">
    <w:name w:val="Date"/>
    <w:next w:val="BodyText"/>
    <w:qFormat/>
    <w:pPr>
      <w:keepNext/>
      <w:keepLines/>
      <w:jc w:val="center"/>
    </w:pPr>
    <w:rPr>
      <w:rFonts w:ascii="Calibri" w:hAnsi="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000000"/>
    </w:rPr>
  </w:style>
  <w:style w:customStyle="1" w:styleId="SourceCode" w:type="paragraph">
    <w:name w:val="Source Code"/>
    <w:basedOn w:val="Normal"/>
    <w:link w:val="VerbatimChar"/>
    <w:pPr>
      <w:wordWrap w:val="off"/>
    </w:pPr>
    <w:rPr>
      <w:rFonts w:ascii="Calibri" w:hAnsi="Calibri"/>
      <w:color w:val="000000"/>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AnswerBox">
    <w:name w:val="Answer Box"/>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1 — Immiscible Liquid–Liquid Interface</dc:title>
  <dc:creator/>
  <cp:keywords/>
  <dcterms:created xsi:type="dcterms:W3CDTF">2026-09-30T16:34:58Z</dcterms:created>
  <dcterms:modified xsi:type="dcterms:W3CDTF">2026-09-30T16:34:58Z</dcterms:modified>
</cp:coreProperties>
</file>

<file path=docProps/custom.xml><?xml version="1.0" encoding="utf-8"?>
<Properties xmlns="http://schemas.openxmlformats.org/officeDocument/2006/custom-properties" xmlns:vt="http://schemas.openxmlformats.org/officeDocument/2006/docPropsVTypes"/>
</file>