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after="240" w:before="0"/>
        <w:jc w:val="center"/>
      </w:pPr>
      <w:r>
        <w:rPr>
          <w:rFonts w:ascii="Times New Roman" w:cs="Times New Roman" w:eastAsia="Times New Roman" w:hAnsi="Times New Roman"/>
          <w:b/>
          <w:bCs/>
          <w:sz w:val="24"/>
          <w:szCs w:val="24"/>
        </w:rPr>
        <w:t xml:space="preserve">The First Concussion is the Critical Event: Childhood Concussions and Long-Term Risk of Mental Health and Substance Use Disorders</w:t>
      </w:r>
    </w:p>
    <w:p>
      <w:pPr>
        <w:spacing w:line="480" w:lineRule="auto" w:after="0" w:before="0"/>
        <w:jc w:val="left"/>
      </w:pPr>
      <w:r>
        <w:rPr>
          <w:rFonts w:ascii="Times New Roman" w:cs="Times New Roman" w:eastAsia="Times New Roman" w:hAnsi="Times New Roman"/>
          <w:b/>
          <w:bCs/>
          <w:sz w:val="24"/>
          <w:szCs w:val="24"/>
        </w:rPr>
        <w:t xml:space="preserve">Keywords: </w:t>
      </w:r>
    </w:p>
    <w:p>
      <w:pPr>
        <w:spacing w:line="480" w:lineRule="auto" w:after="240" w:before="0"/>
        <w:jc w:val="left"/>
      </w:pPr>
      <w:r>
        <w:rPr>
          <w:rFonts w:ascii="Times New Roman" w:cs="Times New Roman" w:eastAsia="Times New Roman" w:hAnsi="Times New Roman"/>
          <w:b w:val="false"/>
          <w:bCs w:val="false"/>
          <w:sz w:val="24"/>
          <w:szCs w:val="24"/>
        </w:rPr>
        <w:t xml:space="preserve">Concussion, Substance Use Disorder, Mood Disorder, Traumatic Brain Injury, Pediatrics, Dose-Response</w:t>
      </w:r>
    </w:p>
    <w:p>
      <w:pPr>
        <w:spacing w:line="480" w:lineRule="auto" w:before="240" w:after="240"/>
      </w:pPr>
      <w:r>
        <w:rPr>
          <w:rFonts w:ascii="Times New Roman" w:cs="Times New Roman" w:eastAsia="Times New Roman" w:hAnsi="Times New Roman"/>
          <w:b/>
          <w:bCs/>
          <w:sz w:val="24"/>
          <w:szCs w:val="24"/>
          <w:u w:val="single"/>
        </w:rPr>
        <w:t xml:space="preserve">AUTHOR INFORMATION</w:t>
      </w:r>
    </w:p>
    <w:p>
      <w:pPr>
        <w:spacing w:line="480" w:lineRule="auto" w:after="0" w:before="0"/>
        <w:jc w:val="left"/>
      </w:pPr>
      <w:r>
        <w:rPr>
          <w:rFonts w:ascii="Times New Roman" w:cs="Times New Roman" w:eastAsia="Times New Roman" w:hAnsi="Times New Roman"/>
          <w:b/>
          <w:bCs/>
          <w:sz w:val="24"/>
          <w:szCs w:val="24"/>
        </w:rPr>
        <w:t xml:space="preserve">Authors:</w:t>
      </w:r>
    </w:p>
    <w:p>
      <w:pPr>
        <w:spacing w:line="480" w:lineRule="auto" w:after="120"/>
      </w:pPr>
      <w:r>
        <w:rPr>
          <w:rFonts w:ascii="Times New Roman" w:cs="Times New Roman" w:eastAsia="Times New Roman" w:hAnsi="Times New Roman"/>
          <w:sz w:val="22"/>
          <w:szCs w:val="22"/>
        </w:rPr>
        <w:t xml:space="preserve">Hunter Michael Eby</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Sarah E. Roehrs</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Peyton Roth</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Amanda Springer</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Adian Butler</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Grant Nelson</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Nour Ali Zrien</w:t>
      </w:r>
      <w:r>
        <w:rPr>
          <w:rFonts w:ascii="Times New Roman" w:cs="Times New Roman" w:eastAsia="Times New Roman" w:hAnsi="Times New Roman"/>
          <w:sz w:val="22"/>
          <w:szCs w:val="22"/>
          <w:vertAlign w:val="superscript"/>
        </w:rPr>
        <w:t xml:space="preserve">¹</w:t>
      </w:r>
    </w:p>
    <w:p>
      <w:pPr>
        <w:spacing w:line="480" w:lineRule="auto" w:after="120"/>
      </w:pPr>
      <w:r>
        <w:rPr>
          <w:rFonts w:ascii="Times New Roman" w:cs="Times New Roman" w:eastAsia="Times New Roman" w:hAnsi="Times New Roman"/>
          <w:sz w:val="22"/>
          <w:szCs w:val="22"/>
        </w:rPr>
        <w:t xml:space="preserve">Robert McCullumsmith</w:t>
      </w:r>
      <w:r>
        <w:rPr>
          <w:rFonts w:ascii="Times New Roman" w:cs="Times New Roman" w:eastAsia="Times New Roman" w:hAnsi="Times New Roman"/>
          <w:sz w:val="22"/>
          <w:szCs w:val="22"/>
          <w:vertAlign w:val="superscript"/>
        </w:rPr>
        <w:t xml:space="preserve">¹</w:t>
      </w:r>
      <w:r>
        <w:rPr>
          <w:rFonts w:ascii="Times New Roman" w:cs="Times New Roman" w:eastAsia="Times New Roman" w:hAnsi="Times New Roman"/>
          <w:sz w:val="22"/>
          <w:szCs w:val="22"/>
          <w:vertAlign w:val="superscript"/>
        </w:rPr>
        <w:t xml:space="preserve">²</w:t>
      </w:r>
    </w:p>
    <w:p>
      <w:pPr>
        <w:spacing w:line="480" w:lineRule="auto" w:after="120" w:before="0"/>
        <w:jc w:val="left"/>
      </w:pPr>
      <w:r>
        <w:rPr>
          <w:rFonts w:ascii="Times New Roman" w:cs="Times New Roman" w:eastAsia="Times New Roman" w:hAnsi="Times New Roman"/>
          <w:b w:val="false"/>
          <w:bCs w:val="false"/>
          <w:sz w:val="24"/>
          <w:szCs w:val="24"/>
        </w:rPr>
        <w:t xml:space="preserve"/>
      </w:r>
    </w:p>
    <w:p>
      <w:pPr>
        <w:spacing w:line="480" w:lineRule="auto" w:after="0" w:before="0"/>
        <w:jc w:val="left"/>
      </w:pPr>
      <w:r>
        <w:rPr>
          <w:rFonts w:ascii="Times New Roman" w:cs="Times New Roman" w:eastAsia="Times New Roman" w:hAnsi="Times New Roman"/>
          <w:b/>
          <w:bCs/>
          <w:sz w:val="24"/>
          <w:szCs w:val="24"/>
        </w:rPr>
        <w:t xml:space="preserve">Affiliations:</w:t>
      </w:r>
    </w:p>
    <w:p>
      <w:pPr>
        <w:spacing w:line="480" w:lineRule="auto" w:after="0" w:before="0"/>
        <w:jc w:val="left"/>
      </w:pPr>
      <w:r>
        <w:rPr>
          <w:rFonts w:ascii="Times New Roman" w:cs="Times New Roman" w:eastAsia="Times New Roman" w:hAnsi="Times New Roman"/>
          <w:b w:val="false"/>
          <w:bCs w:val="false"/>
          <w:sz w:val="24"/>
          <w:szCs w:val="24"/>
        </w:rPr>
        <w:t xml:space="preserve">¹Department of Neurosciences and Psychiatry, University of Toledo College of Medicine and Life Sciences, Toledo, OH, USA</w:t>
      </w:r>
    </w:p>
    <w:p>
      <w:pPr>
        <w:spacing w:line="480" w:lineRule="auto" w:after="240" w:before="0"/>
        <w:jc w:val="left"/>
      </w:pPr>
      <w:r>
        <w:rPr>
          <w:rFonts w:ascii="Times New Roman" w:cs="Times New Roman" w:eastAsia="Times New Roman" w:hAnsi="Times New Roman"/>
          <w:b w:val="false"/>
          <w:bCs w:val="false"/>
          <w:sz w:val="24"/>
          <w:szCs w:val="24"/>
        </w:rPr>
        <w:t xml:space="preserve">²Promedica, Toledo, OH, USA</w:t>
      </w:r>
    </w:p>
    <w:p>
      <w:pPr>
        <w:spacing w:line="480" w:lineRule="auto" w:after="0" w:before="0"/>
        <w:jc w:val="left"/>
      </w:pPr>
      <w:r>
        <w:rPr>
          <w:rFonts w:ascii="Times New Roman" w:cs="Times New Roman" w:eastAsia="Times New Roman" w:hAnsi="Times New Roman"/>
          <w:b/>
          <w:bCs/>
          <w:sz w:val="24"/>
          <w:szCs w:val="24"/>
        </w:rPr>
        <w:t xml:space="preserve">Corresponding Author:</w:t>
      </w:r>
    </w:p>
    <w:p>
      <w:pPr>
        <w:spacing w:line="480" w:lineRule="auto" w:after="240" w:before="0"/>
        <w:jc w:val="left"/>
      </w:pPr>
      <w:r>
        <w:rPr>
          <w:rFonts w:ascii="Times New Roman" w:cs="Times New Roman" w:eastAsia="Times New Roman" w:hAnsi="Times New Roman"/>
          <w:b w:val="false"/>
          <w:bCs w:val="false"/>
          <w:sz w:val="24"/>
          <w:szCs w:val="24"/>
        </w:rPr>
        <w:t xml:space="preserve">Robert E. McCullumsmith, M.D., Ph.D., Department of Neurosciences, University of Toledo College of Medicine, 3000 Arlington Avenue, Block Health Science Building, Mail Stop 1007, Toledo, OH 43614, Robert.McCullumsmith@utoledo.edu</w:t>
      </w:r>
    </w:p>
    <w:p>
      <w:pPr>
        <w:spacing w:line="480" w:lineRule="auto" w:after="0" w:before="0"/>
        <w:jc w:val="left"/>
      </w:pPr>
      <w:r>
        <w:rPr>
          <w:rFonts w:ascii="Times New Roman" w:cs="Times New Roman" w:eastAsia="Times New Roman" w:hAnsi="Times New Roman"/>
          <w:b/>
          <w:bCs/>
          <w:sz w:val="24"/>
          <w:szCs w:val="24"/>
        </w:rPr>
        <w:t xml:space="preserve">Author Contributions:</w:t>
      </w:r>
    </w:p>
    <w:p>
      <w:pPr>
        <w:spacing w:line="480" w:lineRule="auto" w:after="0" w:before="0"/>
        <w:jc w:val="left"/>
      </w:pPr>
      <w:r>
        <w:rPr>
          <w:rFonts w:ascii="Times New Roman" w:cs="Times New Roman" w:eastAsia="Times New Roman" w:hAnsi="Times New Roman"/>
          <w:b w:val="false"/>
          <w:bCs w:val="false"/>
          <w:sz w:val="24"/>
          <w:szCs w:val="24"/>
        </w:rPr>
        <w:t xml:space="preserve">Designed the experiments: HME</w:t>
      </w:r>
    </w:p>
    <w:p>
      <w:pPr>
        <w:spacing w:line="480" w:lineRule="auto" w:after="0" w:before="0"/>
        <w:jc w:val="left"/>
      </w:pPr>
      <w:r>
        <w:rPr>
          <w:rFonts w:ascii="Times New Roman" w:cs="Times New Roman" w:eastAsia="Times New Roman" w:hAnsi="Times New Roman"/>
          <w:b w:val="false"/>
          <w:bCs w:val="false"/>
          <w:sz w:val="24"/>
          <w:szCs w:val="24"/>
        </w:rPr>
        <w:t xml:space="preserve">Drafted the manuscript: HME</w:t>
      </w:r>
    </w:p>
    <w:p>
      <w:pPr>
        <w:spacing w:line="480" w:lineRule="auto" w:after="0" w:before="0"/>
        <w:jc w:val="left"/>
      </w:pPr>
      <w:r>
        <w:rPr>
          <w:rFonts w:ascii="Times New Roman" w:cs="Times New Roman" w:eastAsia="Times New Roman" w:hAnsi="Times New Roman"/>
          <w:b w:val="false"/>
          <w:bCs w:val="false"/>
          <w:sz w:val="24"/>
          <w:szCs w:val="24"/>
        </w:rPr>
        <w:t xml:space="preserve">Wrote the manuscript: HME</w:t>
      </w:r>
    </w:p>
    <w:p>
      <w:pPr>
        <w:spacing w:line="480" w:lineRule="auto" w:after="0" w:before="0"/>
        <w:jc w:val="left"/>
      </w:pPr>
      <w:r>
        <w:rPr>
          <w:rFonts w:ascii="Times New Roman" w:cs="Times New Roman" w:eastAsia="Times New Roman" w:hAnsi="Times New Roman"/>
          <w:b w:val="false"/>
          <w:bCs w:val="false"/>
          <w:sz w:val="24"/>
          <w:szCs w:val="24"/>
        </w:rPr>
        <w:t xml:space="preserve">Performed the experiments: HME</w:t>
      </w:r>
    </w:p>
    <w:p>
      <w:pPr>
        <w:spacing w:line="480" w:lineRule="auto" w:after="240" w:before="0"/>
        <w:jc w:val="left"/>
      </w:pPr>
      <w:r>
        <w:rPr>
          <w:rFonts w:ascii="Times New Roman" w:cs="Times New Roman" w:eastAsia="Times New Roman" w:hAnsi="Times New Roman"/>
          <w:b w:val="false"/>
          <w:bCs w:val="false"/>
          <w:sz w:val="24"/>
          <w:szCs w:val="24"/>
        </w:rPr>
        <w:t xml:space="preserve">Revision of manuscript: All authors contributed</w:t>
      </w:r>
    </w:p>
    <w:p>
      <w:pPr>
        <w:spacing w:line="480" w:lineRule="auto" w:after="240" w:before="0"/>
        <w:jc w:val="left"/>
      </w:pPr>
      <w:r>
        <w:rPr>
          <w:rFonts w:ascii="Times New Roman" w:cs="Times New Roman" w:eastAsia="Times New Roman" w:hAnsi="Times New Roman"/>
          <w:b w:val="false"/>
          <w:bCs w:val="false"/>
          <w:sz w:val="24"/>
          <w:szCs w:val="24"/>
        </w:rPr>
        <w:t xml:space="preserve">Funding: (Not applicable)</w:t>
      </w:r>
    </w:p>
    <w:p>
      <w:pPr>
        <w:spacing w:line="480" w:lineRule="auto" w:before="240" w:after="240"/>
      </w:pPr>
      <w:r>
        <w:rPr>
          <w:rFonts w:ascii="Times New Roman" w:cs="Times New Roman" w:eastAsia="Times New Roman" w:hAnsi="Times New Roman"/>
          <w:b/>
          <w:bCs/>
          <w:sz w:val="24"/>
          <w:szCs w:val="24"/>
          <w:u w:val="single"/>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Abbreviation</w:t>
            </w:r>
          </w:p>
        </w:tc>
        <w:tc>
          <w:tcPr>
            <w:tcW w:type="dxa" w:w="468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left"/>
            </w:pPr>
            <w:r>
              <w:rPr>
                <w:rFonts w:ascii="Times New Roman" w:cs="Times New Roman" w:eastAsia="Times New Roman" w:hAnsi="Times New Roman"/>
                <w:b/>
                <w:bCs/>
                <w:sz w:val="22"/>
                <w:szCs w:val="22"/>
              </w:rPr>
              <w:t xml:space="preserve">Definition</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RR</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Relative risk</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CI</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Confidence interval</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HR</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Hazard ratio</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SUD</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Substance use disorder</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ADHD</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Attention deficit hyperactivity disorder</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HCO</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Healthcare Organization</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C1x</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Single concussion cohort</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C2x</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Two concussion cohort</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C3x</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Three concussion cohort</w:t>
            </w:r>
          </w:p>
        </w:tc>
      </w:tr>
      <w:tr>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CTL</w:t>
            </w:r>
          </w:p>
        </w:tc>
        <w:tc>
          <w:tcPr>
            <w:tcW w:type="dxa" w:w="468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Control cohort</w:t>
            </w:r>
          </w:p>
        </w:tc>
      </w:tr>
    </w:tbl>
    <w:p>
      <w:pPr>
        <w:spacing w:line="480" w:lineRule="auto" w:after="240" w:before="0"/>
        <w:jc w:val="left"/>
      </w:pPr>
      <w:r>
        <w:rPr>
          <w:rFonts w:ascii="Times New Roman" w:cs="Times New Roman" w:eastAsia="Times New Roman" w:hAnsi="Times New Roman"/>
          <w:b w:val="false"/>
          <w:bCs w:val="false"/>
          <w:sz w:val="24"/>
          <w:szCs w:val="24"/>
        </w:rPr>
        <w:t xml:space="preserve"/>
      </w:r>
    </w:p>
    <w:p>
      <w:pPr>
        <w:spacing w:line="480" w:lineRule="auto" w:before="240" w:after="240"/>
      </w:pPr>
      <w:r>
        <w:rPr>
          <w:rFonts w:ascii="Times New Roman" w:cs="Times New Roman" w:eastAsia="Times New Roman" w:hAnsi="Times New Roman"/>
          <w:b/>
          <w:bCs/>
          <w:sz w:val="24"/>
          <w:szCs w:val="24"/>
          <w:u w:val="single"/>
        </w:rPr>
        <w:t xml:space="preserve">INTRODUCTION</w:t>
      </w:r>
    </w:p>
    <w:p>
      <w:pPr>
        <w:spacing w:line="480" w:lineRule="auto" w:after="240" w:before="0"/>
        <w:jc w:val="left"/>
      </w:pPr>
      <w:r>
        <w:rPr>
          <w:rFonts w:ascii="Times New Roman" w:cs="Times New Roman" w:eastAsia="Times New Roman" w:hAnsi="Times New Roman"/>
          <w:b w:val="false"/>
          <w:bCs w:val="false"/>
          <w:sz w:val="24"/>
          <w:szCs w:val="24"/>
        </w:rPr>
        <w:t xml:space="preserve">Childhood concussions are a common injury, particularly in youth engaged in contact sports [1]. While acute effects are well studied, the long-term psychiatric implications remain under active investigation [2]. Emerging evidence links concussions to mental health outcomes including depression, anxiety, and substance use disorders (SUD) [3, 4].</w:t>
      </w:r>
    </w:p>
    <w:p>
      <w:pPr>
        <w:spacing w:line="480" w:lineRule="auto" w:after="240" w:before="0"/>
        <w:jc w:val="left"/>
      </w:pPr>
      <w:r>
        <w:rPr>
          <w:rFonts w:ascii="Times New Roman" w:cs="Times New Roman" w:eastAsia="Times New Roman" w:hAnsi="Times New Roman"/>
          <w:b w:val="false"/>
          <w:bCs w:val="false"/>
          <w:sz w:val="24"/>
          <w:szCs w:val="24"/>
        </w:rPr>
        <w:t xml:space="preserve">The current guidelines for pediatric concussions pertain primarily to acute care protocols. An initial evaluation includes inquiring about symptoms and performing a neurological and cognitive examination [5]. Follow-up recommendations include a primary healthcare visit 2-3 days after an initial concussion evaluation with subsequent evaluations as per healthcare provider's follow-up instructions [6, 7]. For management of a concussion, patients are recommended to have cognitive and physical rest, usually between 24 to 48 hours, with close monitoring of symptoms [5-7]. Following a period of rest, patients may gradually return to daily activities [5-7]. The CDC provides further guidelines for the management of posttraumatic headache, vestibulo-oculomotor dysfunction, sleep, and cognitive impairment [6]. The American Academy of Pediatrics recommends monitoring concussion patients with preexisting mental health disorders due to the potential exacerbation of symptoms following a concussion [5]. However, there are no clear guidelines for the long-term monitoring of mental health conditions in pediatric patients with a history of concussion(s).</w:t>
      </w:r>
    </w:p>
    <w:p>
      <w:pPr>
        <w:spacing w:line="480" w:lineRule="auto" w:after="240" w:before="0"/>
        <w:jc w:val="left"/>
      </w:pPr>
      <w:r>
        <w:rPr>
          <w:rFonts w:ascii="Times New Roman" w:cs="Times New Roman" w:eastAsia="Times New Roman" w:hAnsi="Times New Roman"/>
          <w:b w:val="false"/>
          <w:bCs w:val="false"/>
          <w:sz w:val="24"/>
          <w:szCs w:val="24"/>
        </w:rPr>
        <w:t xml:space="preserve">Current guidelines for management of concussions rely heavily on studies using retrospective survey data, typically from current or former athletes using self-reported data for concussion history and psychiatric symptoms [8]. These studies typically involve small sample sizes, are limited to sport-focused cohorts, and depend on recall accuracy, introducing bias and reducing generalizability. Typical methodology involves matching individuals with self-reported concussions to those without, then comparing rates of mental health conditions across these groups [8, 9]. In addition, most of these studies focus on mental health outcomes after a single concussion [10-14] (Table 1). Thus, it remains unclear whether multiple concussions confer greater risk of mental health outcomes than a single event [2, 3, 9] (Table 1). Further, previous pediatric concussion studies focused on follow-up timelines within a few weeks, months, or a single year [10, 11, 14] (Table 1). As a result, there is limited data regarding whether the mental health findings associated with concussion are sustained long-term. Studies looking at long-term outcomes are limited in sample size, reducing the confidence in the findings [10, 13] (Table 1).</w:t>
      </w:r>
    </w:p>
    <w:p>
      <w:pPr>
        <w:spacing w:line="480" w:lineRule="auto" w:after="240" w:before="0"/>
        <w:jc w:val="left"/>
      </w:pPr>
      <w:r>
        <w:rPr>
          <w:rFonts w:ascii="Times New Roman" w:cs="Times New Roman" w:eastAsia="Times New Roman" w:hAnsi="Times New Roman"/>
          <w:b w:val="false"/>
          <w:bCs w:val="false"/>
          <w:sz w:val="24"/>
          <w:szCs w:val="24"/>
        </w:rPr>
        <w:t xml:space="preserve">A critical question that remains unanswered is whether the psychiatric risk associated with concussion follows a dose-response pattern—that is, whether each additional concussion incrementally increases risk—or whether the first concussion itself represents the pivotal neurological insult. To address these gaps, we designed a stepwise comparison: first concussion versus non-concussed controls, two concussions versus one concussion, and three concussions versus two concussions. This approach isolates the marginal contribution of each additional concussion rather than comparing all concussion groups to non-injured controls.</w:t>
      </w:r>
    </w:p>
    <w:p>
      <w:pPr>
        <w:spacing w:line="480" w:lineRule="auto" w:after="240" w:before="0"/>
        <w:jc w:val="left"/>
      </w:pPr>
      <w:r>
        <w:rPr>
          <w:rFonts w:ascii="Times New Roman" w:cs="Times New Roman" w:eastAsia="Times New Roman" w:hAnsi="Times New Roman"/>
          <w:b w:val="false"/>
          <w:bCs w:val="false"/>
          <w:sz w:val="24"/>
          <w:szCs w:val="24"/>
        </w:rPr>
        <w:t xml:space="preserve">We utilized TriNetX, a federated research network with more than 100 healthcare organizations and over 100 million patients, to conduct this analysis over a 5-year follow-up period. We tested the hypothesis that there is increased risk of mental health conditions with increasing incidence of concussion. Our findings reveal that the first concussion drives the majority of long-term psychiatric risk, with limited evidence of a dose-response relationship for subsequent injuries. These results provide the foundation for our proposed Holistic Evaluation of Anxiety, Depression, and Substance Use After Concussion in Youth (HEADWAY) recommendation, which advocates for structured long-term surveillance of all pediatric patients after even a single concussion.</w:t>
      </w:r>
    </w:p>
    <w:p>
      <w:pPr>
        <w:spacing w:line="480" w:lineRule="auto" w:after="120" w:before="0"/>
        <w:jc w:val="center"/>
      </w:pPr>
      <w:r>
        <w:rPr>
          <w:rFonts w:ascii="Times New Roman" w:cs="Times New Roman" w:eastAsia="Times New Roman" w:hAnsi="Times New Roman"/>
          <w:b/>
          <w:bCs/>
          <w:sz w:val="24"/>
          <w:szCs w:val="24"/>
        </w:rPr>
        <w:t xml:space="preserve">Table 1: Previous Literature on Pediatric Concussions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000"/>
        <w:gridCol w:w="1800"/>
        <w:gridCol w:w="2360"/>
      </w:tblGrid>
      <w:tr>
        <w:tc>
          <w:tcPr>
            <w:tcW w:type="dxa" w:w="8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Age</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Sample Size</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Timeline</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Concussion #</w:t>
            </w:r>
          </w:p>
        </w:tc>
        <w:tc>
          <w:tcPr>
            <w:tcW w:type="dxa" w:w="18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Outcome Tools</w:t>
            </w:r>
          </w:p>
        </w:tc>
        <w:tc>
          <w:tcPr>
            <w:tcW w:type="dxa" w:w="236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Outcomes</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12-18 [10]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Within 21 days</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BIS, GAD-7, PHQ-9</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PHQ-9 score, Attention impulsivity</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5 to &lt;18 [11]</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 weeks, 3 months</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Child Behavior Checklist</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Internalizing, Externalizing, Mental health problems</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&gt;18 [24]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204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 years post career</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 vs 0, 3 vs 1-2</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MCS, PHQ, CAGE</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MCS, Depression, No alcohol dependence</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5-18 [12]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152,321</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N/A</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National Healthcare DB</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Risk mental health, self-harm, psychiatric hospitalization</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10-18 [13]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2,082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11-16 years</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Population data</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Risk mood disorder, psychosis, SUD, ADHD (females)</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&lt;18 [14]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3,427</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Past 12 months</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YRBSS</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Self-harm, depressive symptoms</w:t>
            </w:r>
          </w:p>
        </w:tc>
      </w:tr>
      <w:tr>
        <w:tc>
          <w:tcPr>
            <w:tcW w:type="dxa" w:w="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Adult [4]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4-7 years</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 1, 2+</w:t>
            </w:r>
          </w:p>
        </w:tc>
        <w:tc>
          <w:tcPr>
            <w:tcW w:type="dxa" w:w="18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DASS-42</w:t>
            </w:r>
          </w:p>
        </w:tc>
        <w:tc>
          <w:tcPr>
            <w:tcW w:type="dxa" w:w="2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Anxiety, depression</w:t>
            </w:r>
          </w:p>
        </w:tc>
      </w:tr>
    </w:tbl>
    <w:p>
      <w:pPr>
        <w:spacing w:line="480" w:lineRule="auto" w:after="240" w:before="0"/>
        <w:jc w:val="left"/>
      </w:pPr>
      <w:r>
        <w:rPr>
          <w:rFonts w:ascii="Times New Roman" w:cs="Times New Roman" w:eastAsia="Times New Roman" w:hAnsi="Times New Roman"/>
          <w:b w:val="false"/>
          <w:bCs w:val="false"/>
          <w:sz w:val="24"/>
          <w:szCs w:val="24"/>
        </w:rPr>
        <w:t xml:space="preserve"/>
      </w:r>
    </w:p>
    <w:p>
      <w:pPr>
        <w:spacing w:line="480" w:lineRule="auto" w:before="240" w:after="240"/>
      </w:pPr>
      <w:r>
        <w:rPr>
          <w:rFonts w:ascii="Times New Roman" w:cs="Times New Roman" w:eastAsia="Times New Roman" w:hAnsi="Times New Roman"/>
          <w:b/>
          <w:bCs/>
          <w:sz w:val="24"/>
          <w:szCs w:val="24"/>
          <w:u w:val="single"/>
        </w:rPr>
        <w:t xml:space="preserve">METHODS</w:t>
      </w:r>
    </w:p>
    <w:p>
      <w:pPr>
        <w:spacing w:line="480" w:lineRule="auto" w:after="240" w:before="0"/>
        <w:jc w:val="left"/>
      </w:pPr>
      <w:r>
        <w:rPr>
          <w:rFonts w:ascii="Times New Roman" w:cs="Times New Roman" w:eastAsia="Times New Roman" w:hAnsi="Times New Roman"/>
          <w:b w:val="false"/>
          <w:bCs w:val="false"/>
          <w:sz w:val="24"/>
          <w:szCs w:val="24"/>
        </w:rPr>
        <w:t xml:space="preserve">This retrospective cohort study utilized de-identified electronic medical record data from TriNetX, a global federated health research network comprising over 100 healthcare organizations (HCOs) in the "Research" network [16]. Data was extracted in June 2025 using the TriNetX Compare Outcomes tool. The study examined mental health and substance use outcomes among individuals with a history of one (C1x), two (C2x), or three (C3x) concussions before age 18. In contrast to traditional case-control designs that compare each concussion group to uninjured controls, we employed a stepwise comparison model: C1x was compared to a non-concussed control group (CTL), C2x was compared to C1x, and C3x was compared to C2x. This design isolates the marginal risk attributable to each additional concussion. The follow-up period was 5 years (1,825 days) from the index event.</w:t>
      </w:r>
    </w:p>
    <w:p>
      <w:pPr>
        <w:spacing w:line="480" w:lineRule="auto" w:after="240" w:before="0"/>
        <w:jc w:val="left"/>
      </w:pPr>
      <w:r>
        <w:rPr>
          <w:rFonts w:ascii="Times New Roman" w:cs="Times New Roman" w:eastAsia="Times New Roman" w:hAnsi="Times New Roman"/>
          <w:b w:val="false"/>
          <w:bCs w:val="false"/>
          <w:sz w:val="24"/>
          <w:szCs w:val="24"/>
        </w:rPr>
        <w:t xml:space="preserve">Cohorts were defined by diagnosis codes. Concussed patients were identified based on at least one, two, or three documented instances of concussion (ICD-10-CM: S06.0X) occurring before age 18. In the C1x versus CTL comparison, control patients had at least one healthcare visit before age 18 and no documented concussion diagnoses. Patients were excluded if they had a prior diagnosis of mood disorder (F30-F39) or substance use disorder (F10-F19) before the index event. The index event was defined as the first qualifying concussion in the case cohorts or a pediatric visit in the control cohort. For the C2x versus C1x comparison, the index event for the C2x cohort was the date of the second documented concussion, while the C1x cohort's index event remained the first concussion. For the C3x versus C2x comparison, the index event for the C3x cohort was the third documented concussion. Patients were excluded if their index event occurred more than 20 years before the date of analysis.</w:t>
      </w:r>
    </w:p>
    <w:p>
      <w:pPr>
        <w:spacing w:line="480" w:lineRule="auto" w:after="120" w:before="0"/>
        <w:jc w:val="left"/>
      </w:pPr>
      <w:r>
        <w:rPr>
          <w:rFonts w:ascii="Times New Roman" w:cs="Times New Roman" w:eastAsia="Times New Roman" w:hAnsi="Times New Roman"/>
          <w:b w:val="false"/>
          <w:bCs w:val="false"/>
          <w:sz w:val="24"/>
          <w:szCs w:val="24"/>
        </w:rPr>
        <w:t xml:space="preserve">Outcomes were identified using ICD-10-CM codes and included the following diagnoses:</w:t>
      </w:r>
    </w:p>
    <w:p>
      <w:pPr>
        <w:spacing w:line="480" w:lineRule="auto" w:after="120" w:before="0"/>
        <w:jc w:val="left"/>
      </w:pPr>
      <w:r>
        <w:rPr>
          <w:rFonts w:ascii="Times New Roman" w:cs="Times New Roman" w:eastAsia="Times New Roman" w:hAnsi="Times New Roman"/>
          <w:b w:val="false"/>
          <w:bCs w:val="false"/>
          <w:sz w:val="24"/>
          <w:szCs w:val="24"/>
        </w:rPr>
        <w:t xml:space="preserve">(1) Generalized substance use disorder: alcohol-related disorders (F10), opioid related disorders (F11), cannabis related disorders (F12), sedative, hypnotic, or anxiolytic related disorders (F13), cocaine related disorders (F14), other stimulant related disorders (F15), hallucinogen related disorders (F16), nicotine dependence (F17), inhalant related disorders (F18), other psychoactive substance related disorders (F19).</w:t>
      </w:r>
    </w:p>
    <w:p>
      <w:pPr>
        <w:spacing w:line="480" w:lineRule="auto" w:after="120" w:before="0"/>
        <w:jc w:val="left"/>
      </w:pPr>
      <w:r>
        <w:rPr>
          <w:rFonts w:ascii="Times New Roman" w:cs="Times New Roman" w:eastAsia="Times New Roman" w:hAnsi="Times New Roman"/>
          <w:b w:val="false"/>
          <w:bCs w:val="false"/>
          <w:sz w:val="24"/>
          <w:szCs w:val="24"/>
        </w:rPr>
        <w:t xml:space="preserve">a. Alcohol related disorders (F10).</w:t>
      </w:r>
    </w:p>
    <w:p>
      <w:pPr>
        <w:spacing w:line="480" w:lineRule="auto" w:after="120" w:before="0"/>
        <w:jc w:val="left"/>
      </w:pPr>
      <w:r>
        <w:rPr>
          <w:rFonts w:ascii="Times New Roman" w:cs="Times New Roman" w:eastAsia="Times New Roman" w:hAnsi="Times New Roman"/>
          <w:b w:val="false"/>
          <w:bCs w:val="false"/>
          <w:sz w:val="24"/>
          <w:szCs w:val="24"/>
        </w:rPr>
        <w:t xml:space="preserve">b. Cannabis related disorders (F12).</w:t>
      </w:r>
    </w:p>
    <w:p>
      <w:pPr>
        <w:spacing w:line="480" w:lineRule="auto" w:after="120" w:before="0"/>
        <w:jc w:val="left"/>
      </w:pPr>
      <w:r>
        <w:rPr>
          <w:rFonts w:ascii="Times New Roman" w:cs="Times New Roman" w:eastAsia="Times New Roman" w:hAnsi="Times New Roman"/>
          <w:b w:val="false"/>
          <w:bCs w:val="false"/>
          <w:sz w:val="24"/>
          <w:szCs w:val="24"/>
        </w:rPr>
        <w:t xml:space="preserve">c. Opioid related disorders (F11).</w:t>
      </w:r>
    </w:p>
    <w:p>
      <w:pPr>
        <w:spacing w:line="480" w:lineRule="auto" w:after="120" w:before="0"/>
        <w:jc w:val="left"/>
      </w:pPr>
      <w:r>
        <w:rPr>
          <w:rFonts w:ascii="Times New Roman" w:cs="Times New Roman" w:eastAsia="Times New Roman" w:hAnsi="Times New Roman"/>
          <w:b w:val="false"/>
          <w:bCs w:val="false"/>
          <w:sz w:val="24"/>
          <w:szCs w:val="24"/>
        </w:rPr>
        <w:t xml:space="preserve">(2) Mood [affective] disorders: manic episode (F30), bipolar disorder (F31), depressive episode (F32), major depressive disorder—recurrent (F33), persistent mood [affective] disorders (F34), unspecified mood [affective] disorder (F39).</w:t>
      </w:r>
    </w:p>
    <w:p>
      <w:pPr>
        <w:spacing w:line="480" w:lineRule="auto" w:after="120" w:before="0"/>
        <w:jc w:val="left"/>
      </w:pPr>
      <w:r>
        <w:rPr>
          <w:rFonts w:ascii="Times New Roman" w:cs="Times New Roman" w:eastAsia="Times New Roman" w:hAnsi="Times New Roman"/>
          <w:b w:val="false"/>
          <w:bCs w:val="false"/>
          <w:sz w:val="24"/>
          <w:szCs w:val="24"/>
        </w:rPr>
        <w:t xml:space="preserve">(3) Anxiety and related disorders: phobic anxiety disorders (F40), other anxiety disorders (F41), obsessive-compulsive disorder (F42), reaction to severe stress, and adjustment disorders (F43), dissociative and conversion disorders (F44), somatoform disorders (F45), other nonpsychotic mental disorders (F48).</w:t>
      </w:r>
    </w:p>
    <w:p>
      <w:pPr>
        <w:spacing w:line="480" w:lineRule="auto" w:after="120" w:before="0"/>
        <w:jc w:val="left"/>
      </w:pPr>
      <w:r>
        <w:rPr>
          <w:rFonts w:ascii="Times New Roman" w:cs="Times New Roman" w:eastAsia="Times New Roman" w:hAnsi="Times New Roman"/>
          <w:b w:val="false"/>
          <w:bCs w:val="false"/>
          <w:sz w:val="24"/>
          <w:szCs w:val="24"/>
        </w:rPr>
        <w:t xml:space="preserve">(4) Attention-deficit hyperactivity disorder (F90).</w:t>
      </w:r>
    </w:p>
    <w:p>
      <w:pPr>
        <w:spacing w:line="480" w:lineRule="auto" w:after="240" w:before="0"/>
        <w:jc w:val="left"/>
      </w:pPr>
      <w:r>
        <w:rPr>
          <w:rFonts w:ascii="Times New Roman" w:cs="Times New Roman" w:eastAsia="Times New Roman" w:hAnsi="Times New Roman"/>
          <w:b w:val="false"/>
          <w:bCs w:val="false"/>
          <w:sz w:val="24"/>
          <w:szCs w:val="24"/>
        </w:rPr>
        <w:t xml:space="preserve">(5) Unspecified psychosis (F29).</w:t>
      </w:r>
    </w:p>
    <w:p>
      <w:pPr>
        <w:spacing w:line="480" w:lineRule="auto" w:after="240" w:before="0"/>
        <w:jc w:val="left"/>
      </w:pPr>
      <w:r>
        <w:rPr>
          <w:rFonts w:ascii="Times New Roman" w:cs="Times New Roman" w:eastAsia="Times New Roman" w:hAnsi="Times New Roman"/>
          <w:b w:val="false"/>
          <w:bCs w:val="false"/>
          <w:sz w:val="24"/>
          <w:szCs w:val="24"/>
        </w:rPr>
        <w:t xml:space="preserve">Each outcome was analyzed using prevalence (risk) estimates and time-to-event (Kaplan-Meier survival) analysis. To control for multiple covariates, cohorts were matched 1:1 using propensity scores derived from logistic regression. Matching variables included age at index, sex, race (White, Black or African American, Asian, American Indian or Alaska Native, Other, Unknown), ethnicity (Hispanic or Latino, Not Hispanic or Latino, Unknown), mood disorders (F30-F39), mental and behavioral disorders due to psychoactive substance use (F10-F19), mental disorders due to known physiological conditions (F01-F09), pervasive and specific developmental disorders (F80-F89), behavioral and emotional disorders with onset in childhood and adolescence (F90-F98), and BMI. Family history of mental and behavioral disorders (Z81) was applied as an exclusion criterion for both cohorts. For the C2x and C3x cohorts, psychiatric conditions developing after the first concussion but before subsequent concussions were retained, as these may represent sequelae of the initial injury. TriNetX analyses included risk comparisons (risk difference, risk ratio), and Kaplan-Meier survival analysis (including log-rank tests and hazard ratios). Statistical significance was defined as p &lt; 0.05, and all analyses were conducted within the TriNetX platform.</w:t>
      </w:r>
    </w:p>
    <w:p>
      <w:pPr>
        <w:spacing w:line="480" w:lineRule="auto" w:before="240" w:after="240"/>
      </w:pPr>
      <w:r>
        <w:rPr>
          <w:rFonts w:ascii="Times New Roman" w:cs="Times New Roman" w:eastAsia="Times New Roman" w:hAnsi="Times New Roman"/>
          <w:b/>
          <w:bCs/>
          <w:sz w:val="24"/>
          <w:szCs w:val="24"/>
          <w:u w:val="single"/>
        </w:rPr>
        <w:t xml:space="preserve">RESULTS</w:t>
      </w:r>
    </w:p>
    <w:p>
      <w:pPr>
        <w:spacing w:line="480" w:lineRule="auto" w:after="240" w:before="0"/>
        <w:jc w:val="left"/>
      </w:pPr>
      <w:r>
        <w:rPr>
          <w:rFonts w:ascii="Times New Roman" w:cs="Times New Roman" w:eastAsia="Times New Roman" w:hAnsi="Times New Roman"/>
          <w:b w:val="false"/>
          <w:bCs w:val="false"/>
          <w:sz w:val="24"/>
          <w:szCs w:val="24"/>
        </w:rPr>
        <w:t xml:space="preserve">Our analysis included patients with documented childhood concussions compared in a stepwise fashion. The C1x versus CTL comparison included 81,876 propensity-score matched pairs. The C2x versus C1x comparison included 25,807 matched pairs, and the C3x versus C2x comparison included 11,038 matched pairs. Propensity score matching yielded well-balanced groups across 15 key variables in each comparison.</w:t>
      </w:r>
    </w:p>
    <w:p>
      <w:pPr>
        <w:spacing w:line="480" w:lineRule="auto" w:before="240" w:after="240"/>
      </w:pPr>
      <w:r>
        <w:rPr>
          <w:rFonts w:ascii="Times New Roman" w:cs="Times New Roman" w:eastAsia="Times New Roman" w:hAnsi="Times New Roman"/>
          <w:b/>
          <w:bCs/>
          <w:sz w:val="24"/>
          <w:szCs w:val="24"/>
          <w:u w:val="single"/>
        </w:rPr>
        <w:t xml:space="preserve">First Concussion Versus Controls: A Marked Increase in Risk</w:t>
      </w:r>
    </w:p>
    <w:p>
      <w:pPr>
        <w:spacing w:line="480" w:lineRule="auto" w:after="240" w:before="0"/>
        <w:jc w:val="left"/>
      </w:pPr>
      <w:r>
        <w:rPr>
          <w:rFonts w:ascii="Times New Roman" w:cs="Times New Roman" w:eastAsia="Times New Roman" w:hAnsi="Times New Roman"/>
          <w:b w:val="false"/>
          <w:bCs w:val="false"/>
          <w:sz w:val="24"/>
          <w:szCs w:val="24"/>
        </w:rPr>
        <w:t xml:space="preserve">At 5 years following a single concussion, there was a significant and substantial increase in risk across nearly all psychiatric and substance use outcomes compared to non-concussed controls (Table 2). The most pronounced elevations were observed in substance use disorders. Generalized SUD risk was significantly increased (RR 1.469; 95% CI 1.401-1.540; p &lt; 0.001), with opioid-related disorders showing the largest effect size (RR 1.740; 95% CI 1.399-2.164; p &lt; 0.001). Alcohol-related disorders (RR 1.593; 95% CI 1.417-1.790; p &lt; 0.001) and cannabis-related disorders (RR 1.542; 95% CI 1.433-1.659; p &lt; 0.001) were similarly elevated. Psychosis risk was also significantly increased (RR 1.536; 95% CI 1.253-1.882; p &lt; 0.001).</w:t>
      </w:r>
    </w:p>
    <w:p>
      <w:pPr>
        <w:spacing w:line="480" w:lineRule="auto" w:after="240" w:before="0"/>
        <w:jc w:val="left"/>
      </w:pPr>
      <w:r>
        <w:rPr>
          <w:rFonts w:ascii="Times New Roman" w:cs="Times New Roman" w:eastAsia="Times New Roman" w:hAnsi="Times New Roman"/>
          <w:b w:val="false"/>
          <w:bCs w:val="false"/>
          <w:sz w:val="24"/>
          <w:szCs w:val="24"/>
        </w:rPr>
        <w:t xml:space="preserve">Mood disorders were significantly elevated (RR 1.125; 95% CI 1.090-1.161; p &lt; 0.001), as were anxiety disorders (RR 1.073; 95% CI 1.047-1.100; p &lt; 0.001). Kaplan-Meier analysis confirmed these patterns, with hazard ratios consistently elevated: mood disorders (HR 1.192; 95% CI 1.157-1.228), anxiety disorders (HR 1.079; 95% CI 1.051-1.109), generalized SUD (HR 1.481; 95% CI 1.411-1.554), and opioid-related disorders (HR 1.741; 95% CI 1.400-2.166) (Table 2). ADHD was the only outcome to show a significantly lower risk in the concussion cohort (RR 0.934; 95% CI 0.908-0.962; HR 0.925; 95% CI 0.897-0.953).</w:t>
      </w:r>
    </w:p>
    <w:p>
      <w:pPr>
        <w:spacing w:line="480" w:lineRule="auto" w:after="120" w:before="0"/>
        <w:jc w:val="center"/>
      </w:pPr>
      <w:r>
        <w:rPr>
          <w:rFonts w:ascii="Times New Roman" w:cs="Times New Roman" w:eastAsia="Times New Roman" w:hAnsi="Times New Roman"/>
          <w:b/>
          <w:bCs/>
          <w:sz w:val="24"/>
          <w:szCs w:val="24"/>
        </w:rPr>
        <w:t xml:space="preserve">Table 2: C1x vs CTL — 5-Year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000"/>
        <w:gridCol w:w="1200"/>
        <w:gridCol w:w="1000"/>
        <w:gridCol w:w="1360"/>
      </w:tblGrid>
      <w:tr>
        <w:tc>
          <w:tcPr>
            <w:tcW w:type="dxa" w:w="14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Outcome</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1 Risk (%)</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2 Risk (%)</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Risk Ratio</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Hazard Ratio</w:t>
            </w:r>
          </w:p>
        </w:tc>
        <w:tc>
          <w:tcPr>
            <w:tcW w:type="dxa" w:w="136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Generalized SUD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4.98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3.39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1.469*</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(1.401–1.540)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1.481</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(1.411–1.554)</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Alcohol</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0.55</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1.593*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(1.417–1.790)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1.595</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(1.419–1.794)</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Cannabis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2.20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1.43</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1.542*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(1.433–1.659)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1.548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(1.438–1.666)</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Opioid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0.27</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0.16</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1.740*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(1.399–2.164)</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1.741</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(1.400–2.166)</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Mood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9.33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8.29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1.125*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(1.090–1.161)</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1.192</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(1.157–1.228)</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Anxiety</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14.22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13.25</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(1.047–1.100)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1.079</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(1.051–1.109)</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ADHD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9.70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10.38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0.934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(0.908–0.962)</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0.925</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(0.897–0.953)</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Psychosis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0.29</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0.19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1.536*</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(1.253–1.882)</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1.537</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(1.254–1.884)</w:t>
            </w:r>
          </w:p>
        </w:tc>
      </w:tr>
    </w:tbl>
    <w:p>
      <w:pPr>
        <w:spacing w:line="480" w:lineRule="auto" w:after="240" w:before="0"/>
        <w:jc w:val="left"/>
      </w:pPr>
      <w:r>
        <w:rPr>
          <w:rFonts w:ascii="Times New Roman" w:cs="Times New Roman" w:eastAsia="Times New Roman" w:hAnsi="Times New Roman"/>
          <w:b w:val="false"/>
          <w:bCs w:val="false"/>
          <w:sz w:val="24"/>
          <w:szCs w:val="24"/>
        </w:rPr>
        <w:t xml:space="preserve"/>
      </w:r>
    </w:p>
    <w:p>
      <w:pPr>
        <w:spacing w:line="480" w:lineRule="auto" w:before="240" w:after="240"/>
      </w:pPr>
      <w:r>
        <w:rPr>
          <w:rFonts w:ascii="Times New Roman" w:cs="Times New Roman" w:eastAsia="Times New Roman" w:hAnsi="Times New Roman"/>
          <w:b/>
          <w:bCs/>
          <w:sz w:val="24"/>
          <w:szCs w:val="24"/>
          <w:u w:val="single"/>
        </w:rPr>
        <w:t xml:space="preserve">Two Concussions Versus One Concussion: Modest Mood Effects, No SUD Escalation</w:t>
      </w:r>
    </w:p>
    <w:p>
      <w:pPr>
        <w:spacing w:line="480" w:lineRule="auto" w:after="240" w:before="0"/>
        <w:jc w:val="left"/>
      </w:pPr>
      <w:r>
        <w:rPr>
          <w:rFonts w:ascii="Times New Roman" w:cs="Times New Roman" w:eastAsia="Times New Roman" w:hAnsi="Times New Roman"/>
          <w:b w:val="false"/>
          <w:bCs w:val="false"/>
          <w:sz w:val="24"/>
          <w:szCs w:val="24"/>
        </w:rPr>
        <w:t xml:space="preserve">In the C2x versus C1x comparison at 5 years, the pattern diverged substantially from the C1x versus CTL findings (Table 3). Mood disorders (RR 1.076; 95% CI 1.025-1.129; HR 1.107; 95% CI 1.060-1.157), anxiety disorders (RR 1.089; 95% CI 1.047-1.133; HR 1.148; 95% CI 1.099-1.199), and ADHD (RR 1.085; 95% CI 1.033-1.139; HR 1.128; 95% CI 1.072-1.188) showed modest but statistically significant increases (Table 3).</w:t>
      </w:r>
    </w:p>
    <w:p>
      <w:pPr>
        <w:spacing w:line="480" w:lineRule="auto" w:after="240" w:before="0"/>
        <w:jc w:val="left"/>
      </w:pPr>
      <w:r>
        <w:rPr>
          <w:rFonts w:ascii="Times New Roman" w:cs="Times New Roman" w:eastAsia="Times New Roman" w:hAnsi="Times New Roman"/>
          <w:b w:val="false"/>
          <w:bCs w:val="false"/>
          <w:sz w:val="24"/>
          <w:szCs w:val="24"/>
        </w:rPr>
        <w:t xml:space="preserve">In contrast, substance use disorders showed no escalation and, in several cases, a reversal. Generalized SUD was significantly lower in the C2x group compared to C1x (RR 0.858; 95% CI 0.802-0.918; HR 0.896; 95% CI 0.836-0.961). Opioid-related disorders were also significantly lower (RR 0.674; 95% CI 0.486-0.935; HR 0.711; 95% CI 0.513-0.987). Alcohol-related disorders (RR 0.910; 95% CI 0.773-1.071) and cannabis-related disorders (RR 0.910; 95% CI 0.822-1.008) showed non-significant trends toward lower risk. Psychosis showed no significant difference (RR 0.823; 95% CI 0.611-1.108) (Table 3).</w:t>
      </w:r>
    </w:p>
    <w:p>
      <w:pPr>
        <w:spacing w:line="480" w:lineRule="auto" w:after="120" w:before="0"/>
        <w:jc w:val="center"/>
      </w:pPr>
      <w:r>
        <w:rPr>
          <w:rFonts w:ascii="Times New Roman" w:cs="Times New Roman" w:eastAsia="Times New Roman" w:hAnsi="Times New Roman"/>
          <w:b/>
          <w:bCs/>
          <w:sz w:val="24"/>
          <w:szCs w:val="24"/>
        </w:rPr>
        <w:t xml:space="preserve">Table 3: C2x vs C1x — 5-Year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000"/>
        <w:gridCol w:w="1200"/>
        <w:gridCol w:w="1000"/>
        <w:gridCol w:w="1360"/>
      </w:tblGrid>
      <w:tr>
        <w:tc>
          <w:tcPr>
            <w:tcW w:type="dxa" w:w="14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Outcome</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1 Risk (%)</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2 Risk (%)</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Risk Ratio</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Hazard Ratio</w:t>
            </w:r>
          </w:p>
        </w:tc>
        <w:tc>
          <w:tcPr>
            <w:tcW w:type="dxa" w:w="136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Generalized SUD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5.73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6.68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0.858*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(0.802–0.918)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0.896</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(0.836–0.961)</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Alcohol</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1.06</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1.16</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0.910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(0.773–1.071)</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0.958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(0.813–1.129)</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Cannabis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2.67</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2.93</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0.910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(0.822–1.008)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0.955</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(0.861–1.058)</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Opioid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0.23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0.34</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0.674*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(0.486–0.935)</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0.711</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(0.513–0.987)</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Mood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12.38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11.51</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1.076*</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(1.025–1.129)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1.107</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(1.060–1.157)</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Anxiety</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17.75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16.29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1.089*</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(1.047–1.133)</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1.148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(1.099–1.199)</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ADHD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11.69</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1.085*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(1.033–1.139)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1.128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(1.072–1.188)</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Psychosis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0.31</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0.37</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0.823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(0.611–1.108)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0.860</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(0.639–1.158)</w:t>
            </w:r>
          </w:p>
        </w:tc>
      </w:tr>
    </w:tbl>
    <w:p>
      <w:pPr>
        <w:spacing w:line="480" w:lineRule="auto" w:after="240" w:before="0"/>
        <w:jc w:val="left"/>
      </w:pPr>
      <w:r>
        <w:rPr>
          <w:rFonts w:ascii="Times New Roman" w:cs="Times New Roman" w:eastAsia="Times New Roman" w:hAnsi="Times New Roman"/>
          <w:b w:val="false"/>
          <w:bCs w:val="false"/>
          <w:sz w:val="24"/>
          <w:szCs w:val="24"/>
        </w:rPr>
        <w:t xml:space="preserve"/>
      </w:r>
    </w:p>
    <w:p>
      <w:pPr>
        <w:spacing w:line="480" w:lineRule="auto" w:before="240" w:after="240"/>
      </w:pPr>
      <w:r>
        <w:rPr>
          <w:rFonts w:ascii="Times New Roman" w:cs="Times New Roman" w:eastAsia="Times New Roman" w:hAnsi="Times New Roman"/>
          <w:b/>
          <w:bCs/>
          <w:sz w:val="24"/>
          <w:szCs w:val="24"/>
          <w:u w:val="single"/>
        </w:rPr>
        <w:t xml:space="preserve">Three Concussions Versus Two Concussions: No Additional Risk</w:t>
      </w:r>
    </w:p>
    <w:p>
      <w:pPr>
        <w:spacing w:line="480" w:lineRule="auto" w:after="240" w:before="0"/>
        <w:jc w:val="left"/>
      </w:pPr>
      <w:r>
        <w:rPr>
          <w:rFonts w:ascii="Times New Roman" w:cs="Times New Roman" w:eastAsia="Times New Roman" w:hAnsi="Times New Roman"/>
          <w:b w:val="false"/>
          <w:bCs w:val="false"/>
          <w:sz w:val="24"/>
          <w:szCs w:val="24"/>
        </w:rPr>
        <w:t xml:space="preserve">In the C3x versus C2x comparison, no outcome reached statistical significance at 5 years (Table 4). Risk ratios for all outcomes clustered near 1.0: generalized SUD (RR 0.959; 95% CI 0.868-1.060), alcohol (RR 1.014; 95% CI 0.804-1.280), cannabis (RR 0.980; 95% CI 0.847-1.134), mood disorders (RR 0.988; 95% CI 0.923-1.058), anxiety (RR 1.012; 95% CI 0.955-1.072), ADHD (RR 1.052; 95% CI 0.979-1.129), psychosis (RR 0.892; 95% CI 0.558-1.425), and opioid-related disorders (RR 1.138; 95% CI 0.691-1.873). Kaplan-Meier analysis confirmed these null findings, with no hazard ratio reaching significance (Table 4). ADHD showed a trend toward significance (HR 1.075; 95% CI 0.996-1.160; p = 0.063) but did not reach the pre-specified threshold.</w:t>
      </w:r>
    </w:p>
    <w:p>
      <w:pPr>
        <w:spacing w:line="480" w:lineRule="auto" w:after="120" w:before="0"/>
        <w:jc w:val="center"/>
      </w:pPr>
      <w:r>
        <w:rPr>
          <w:rFonts w:ascii="Times New Roman" w:cs="Times New Roman" w:eastAsia="Times New Roman" w:hAnsi="Times New Roman"/>
          <w:b/>
          <w:bCs/>
          <w:sz w:val="24"/>
          <w:szCs w:val="24"/>
        </w:rPr>
        <w:t xml:space="preserve">Table 4: C3x vs C2x — 5-Year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000"/>
        <w:gridCol w:w="1200"/>
        <w:gridCol w:w="1000"/>
        <w:gridCol w:w="1360"/>
      </w:tblGrid>
      <w:tr>
        <w:tc>
          <w:tcPr>
            <w:tcW w:type="dxa" w:w="14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Outcome</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1 Risk (%)</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Cohort 2 Risk (%)</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Risk Ratio</w:t>
            </w:r>
          </w:p>
        </w:tc>
        <w:tc>
          <w:tcPr>
            <w:tcW w:type="dxa" w:w="12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c>
          <w:tcPr>
            <w:tcW w:type="dxa" w:w="100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Hazard Ratio</w:t>
            </w:r>
          </w:p>
        </w:tc>
        <w:tc>
          <w:tcPr>
            <w:tcW w:type="dxa" w:w="1360"/>
            <w:tcBorders>
              <w:top w:val="single" w:color="000000" w:sz="6"/>
              <w:left w:val="single" w:color="000000" w:sz="6"/>
              <w:bottom w:val="single" w:color="000000" w:sz="6"/>
              <w:right w:val="single" w:color="000000" w:sz="6"/>
            </w:tcBorders>
            <w:shd w:fill="D3D3D3"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2"/>
                <w:szCs w:val="22"/>
              </w:rPr>
              <w:t xml:space="preserve">95% CI</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Generalized SUD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6.42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6.70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0.959</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(0.868–1.060)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0.988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(0.892–1.096)</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Alcohol</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1.26</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1.014</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(0.804–1.280)</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1.046</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(0.828–1.322)</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Cannabis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3.13</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3.19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0.980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(0.847–1.134)</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1.011</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(0.872–1.173)</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Opioid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0.26</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1.138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(0.691–1.873)</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1.171</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(0.711–1.929)</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Mood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13.61</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13.77</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0.988</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(0.923–1.058)</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1.013</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(0.951–1.078)</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Anxiety</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19.25</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19.03</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1.012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(0.955–1.072)</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1.038</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(0.974–1.108)</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ADHD</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12.37</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11.76</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1.052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(0.979–1.129)</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1.075</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(0.996–1.160)</w:t>
            </w:r>
          </w:p>
        </w:tc>
      </w:tr>
      <w:tr>
        <w:tc>
          <w:tcPr>
            <w:tcW w:type="dxa" w:w="14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2"/>
                <w:szCs w:val="22"/>
              </w:rPr>
              <w:t xml:space="preserve">Psychosis</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0.30</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0.34</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0.892</w:t>
            </w:r>
          </w:p>
        </w:tc>
        <w:tc>
          <w:tcPr>
            <w:tcW w:type="dxa" w:w="12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(0.558–1.425)</w:t>
            </w:r>
          </w:p>
        </w:tc>
        <w:tc>
          <w:tcPr>
            <w:tcW w:type="dxa" w:w="100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0.917</w:t>
            </w:r>
          </w:p>
        </w:tc>
        <w:tc>
          <w:tcPr>
            <w:tcW w:type="dxa" w:w="1360"/>
            <w:tcBorders>
              <w:top w:val="single" w:color="000000" w:sz="6"/>
              <w:left w:val="single" w:color="000000" w:sz="6"/>
              <w:bottom w:val="single" w:color="000000" w:sz="6"/>
              <w:right w:val="single" w:color="000000" w:sz="6"/>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2"/>
                <w:szCs w:val="22"/>
              </w:rPr>
              <w:t xml:space="preserve">(0.574–1.466)</w:t>
            </w:r>
          </w:p>
        </w:tc>
      </w:tr>
    </w:tbl>
    <w:p>
      <w:pPr>
        <w:spacing w:line="480" w:lineRule="auto" w:after="240" w:before="0"/>
        <w:jc w:val="left"/>
      </w:pPr>
      <w:r>
        <w:rPr>
          <w:rFonts w:ascii="Times New Roman" w:cs="Times New Roman" w:eastAsia="Times New Roman" w:hAnsi="Times New Roman"/>
          <w:b w:val="false"/>
          <w:bCs w:val="false"/>
          <w:sz w:val="24"/>
          <w:szCs w:val="24"/>
        </w:rPr>
        <w:t xml:space="preserve"/>
      </w:r>
    </w:p>
    <w:p>
      <w:pPr>
        <w:spacing w:line="480" w:lineRule="auto" w:before="240" w:after="240"/>
      </w:pPr>
      <w:r>
        <w:rPr>
          <w:rFonts w:ascii="Times New Roman" w:cs="Times New Roman" w:eastAsia="Times New Roman" w:hAnsi="Times New Roman"/>
          <w:b/>
          <w:bCs/>
          <w:sz w:val="24"/>
          <w:szCs w:val="24"/>
          <w:u w:val="single"/>
        </w:rPr>
        <w:t xml:space="preserve">DISCUSSION</w:t>
      </w:r>
    </w:p>
    <w:p>
      <w:pPr>
        <w:spacing w:line="480" w:lineRule="auto" w:after="240" w:before="0"/>
        <w:jc w:val="left"/>
      </w:pPr>
      <w:r>
        <w:rPr>
          <w:rFonts w:ascii="Times New Roman" w:cs="Times New Roman" w:eastAsia="Times New Roman" w:hAnsi="Times New Roman"/>
          <w:b w:val="false"/>
          <w:bCs w:val="false"/>
          <w:sz w:val="24"/>
          <w:szCs w:val="24"/>
        </w:rPr>
        <w:t xml:space="preserve">This study reveals a striking pattern: the first childhood concussion is the critical event that drives long-term psychiatric and substance use risk, while subsequent concussions confer limited additional risk. These findings challenge the assumption of a simple dose-response relationship between concussion frequency and mental health outcomes.</w:t>
      </w:r>
    </w:p>
    <w:p>
      <w:pPr>
        <w:spacing w:line="480" w:lineRule="auto" w:after="240" w:before="0"/>
        <w:jc w:val="left"/>
      </w:pPr>
      <w:r>
        <w:rPr>
          <w:rFonts w:ascii="Times New Roman" w:cs="Times New Roman" w:eastAsia="Times New Roman" w:hAnsi="Times New Roman"/>
          <w:b w:val="false"/>
          <w:bCs w:val="false"/>
          <w:sz w:val="24"/>
          <w:szCs w:val="24"/>
        </w:rPr>
        <w:t xml:space="preserve">The first concussion was associated with significantly elevated risk across all substance use and mood disorder outcomes at 5 years. The magnitude of these effects was considerable, with opioid-related disorders showing a 74% increase in risk, generalized SUD a 47% increase, and mood disorders a 13% increase. This substantial jump following a single injury suggests that the initial concussive insult may trigger neurobiological cascades—including neuroinflammation, disruption of monoaminergic signaling, and alterations to prefrontal-limbic circuitry—that establish vulnerability to psychiatric conditions during a critical period of neurodevelopment [2, 17-19].</w:t>
      </w:r>
    </w:p>
    <w:p>
      <w:pPr>
        <w:spacing w:line="480" w:lineRule="auto" w:after="240" w:before="0"/>
        <w:jc w:val="left"/>
      </w:pPr>
      <w:r>
        <w:rPr>
          <w:rFonts w:ascii="Times New Roman" w:cs="Times New Roman" w:eastAsia="Times New Roman" w:hAnsi="Times New Roman"/>
          <w:b w:val="false"/>
          <w:bCs w:val="false"/>
          <w:sz w:val="24"/>
          <w:szCs w:val="24"/>
        </w:rPr>
        <w:t xml:space="preserve">In contrast, the comparison of two concussions to one concussion revealed a more nuanced picture. While mood disorders, anxiety, and ADHD showed modest additional increases of 7-9%, substance use disorders unexpectedly showed no escalation. In fact, generalized SUD and opioid-related disorders were significantly lower in the two-concussion group. This dissociation between mood and substance use outcomes is noteworthy and may reflect differential neurobiological mechanisms. Mood and anxiety symptoms may be more directly related to cumulative neuronal injury in emotion-regulating circuits, while the lack of SUD escalation could reflect behavioral changes following a second injury—such as increased medical surveillance, removal from high-risk activities, or greater parental monitoring—that may reduce exposure to substance use opportunities.</w:t>
      </w:r>
    </w:p>
    <w:p>
      <w:pPr>
        <w:spacing w:line="480" w:lineRule="auto" w:after="240" w:before="0"/>
        <w:jc w:val="left"/>
      </w:pPr>
      <w:r>
        <w:rPr>
          <w:rFonts w:ascii="Times New Roman" w:cs="Times New Roman" w:eastAsia="Times New Roman" w:hAnsi="Times New Roman"/>
          <w:b w:val="false"/>
          <w:bCs w:val="false"/>
          <w:sz w:val="24"/>
          <w:szCs w:val="24"/>
        </w:rPr>
        <w:t xml:space="preserve">The comparison of three concussions to two concussions yielded no statistically significant differences across any outcome. This null finding, combined with the modest effects in the C2x versus C1x comparison, strongly suggests that a dose-response model does not adequately describe the relationship between concussion frequency and psychiatric risk. Rather, the data support a threshold model in which the first concussion represents the principal risk-elevating event.</w:t>
      </w:r>
    </w:p>
    <w:p>
      <w:pPr>
        <w:spacing w:line="480" w:lineRule="auto" w:after="240" w:before="0"/>
        <w:jc w:val="left"/>
      </w:pPr>
      <w:r>
        <w:rPr>
          <w:rFonts w:ascii="Times New Roman" w:cs="Times New Roman" w:eastAsia="Times New Roman" w:hAnsi="Times New Roman"/>
          <w:b w:val="false"/>
          <w:bCs w:val="false"/>
          <w:sz w:val="24"/>
          <w:szCs w:val="24"/>
        </w:rPr>
        <w:t xml:space="preserve">These findings have important clinical implications. The current CDC HEADS UP guidelines for the management of pediatric concussions focus on the acute effects of injury, primarily directing surveillance to headaches, cognitive dysfunction, and pain within the first 48 hours [20]. While these guidelines encourage evaluation of emotional status, they stop short of formal mental health assessments and do not address long-term psychiatric monitoring.</w:t>
      </w:r>
    </w:p>
    <w:p>
      <w:pPr>
        <w:spacing w:line="480" w:lineRule="auto" w:after="240" w:before="0"/>
        <w:jc w:val="left"/>
      </w:pPr>
      <w:r>
        <w:rPr>
          <w:rFonts w:ascii="Times New Roman" w:cs="Times New Roman" w:eastAsia="Times New Roman" w:hAnsi="Times New Roman"/>
          <w:b w:val="false"/>
          <w:bCs w:val="false"/>
          <w:sz w:val="24"/>
          <w:szCs w:val="24"/>
        </w:rPr>
        <w:t xml:space="preserve">Our study demonstrates that the consequences of concussion extend well beyond the initial trauma, with sustained increased risk for SUD, depression, and anxiety persisting to at least 5 years post-injury. Critically, our findings indicate that this risk is established after the first concussion—not reserved for patients with multiple injuries. Considering these findings, we propose an expansion of current protocols to include long-term mental health monitoring for all pediatric concussion patients.</w:t>
      </w:r>
    </w:p>
    <w:p>
      <w:pPr>
        <w:spacing w:line="480" w:lineRule="auto" w:after="240" w:before="0"/>
        <w:jc w:val="left"/>
      </w:pPr>
      <w:r>
        <w:rPr>
          <w:rFonts w:ascii="Times New Roman" w:cs="Times New Roman" w:eastAsia="Times New Roman" w:hAnsi="Times New Roman"/>
          <w:b w:val="false"/>
          <w:bCs w:val="false"/>
          <w:sz w:val="24"/>
          <w:szCs w:val="24"/>
        </w:rPr>
        <w:t xml:space="preserve">To address this need, we have developed the Holistic Evaluation of Anxiety, Depression, and Substance Use After Concussion in Youth (HEADWAY) protocol. This initiative introduces an evidence-based framework for identifying psychiatric sequelae following concussion. The HEADWAY protocol includes baseline screening for depression (PHQ-9), anxiety (GAD-7), attention-deficit/hyperactivity disorder (ADHD), and substance use disorder (SUD), with follow-up assessments compared to pre-injury benchmarks when available. Patients should subsequently undergo mental health and substance use screening on a biannual basis. Given our finding that the first concussion is the critical risk-elevating event, we recommend that HEADWAY screening be initiated after a single concussion rather than being reserved for patients with recurrent injuries.</w:t>
      </w:r>
    </w:p>
    <w:p>
      <w:pPr>
        <w:spacing w:line="480" w:lineRule="auto" w:after="240" w:before="0"/>
        <w:jc w:val="left"/>
      </w:pPr>
      <w:r>
        <w:rPr>
          <w:rFonts w:ascii="Times New Roman" w:cs="Times New Roman" w:eastAsia="Times New Roman" w:hAnsi="Times New Roman"/>
          <w:b w:val="false"/>
          <w:bCs w:val="false"/>
          <w:sz w:val="24"/>
          <w:szCs w:val="24"/>
        </w:rPr>
        <w:t xml:space="preserve">Strengths of this study include large sample sizes, rigorous propensity-score matching, exclusion of patients with prior psychiatric diagnoses, and a novel stepwise comparison design that isolates the marginal contribution of each additional concussion. The use of the TriNetX platform provided access to real-world clinical data from over 100 healthcare organizations, enhancing generalizability.</w:t>
      </w:r>
    </w:p>
    <w:p>
      <w:pPr>
        <w:spacing w:line="480" w:lineRule="auto" w:after="240" w:before="0"/>
        <w:jc w:val="left"/>
      </w:pPr>
      <w:r>
        <w:rPr>
          <w:rFonts w:ascii="Times New Roman" w:cs="Times New Roman" w:eastAsia="Times New Roman" w:hAnsi="Times New Roman"/>
          <w:b w:val="false"/>
          <w:bCs w:val="false"/>
          <w:sz w:val="24"/>
          <w:szCs w:val="24"/>
        </w:rPr>
        <w:t xml:space="preserve">Limitations include reliance on ICD coding, which may introduce misclassification, and lack of data on concussion severity or mechanism of injury. Only 25% of cases in our dataset included information on the mechanism of injury. The index date was defined as the first documented concussion to allow exclusion of pre-existing psychiatric conditions; however, this approach may not capture all concussion events. Time between concussions in the C2x and C3x groups may influence outcomes, as inter-injury interval is an important factor [21-23]. The lower risk of SUD observed in the C2x versus C1x comparison may reflect survivor bias or behavioral changes following a second concussion rather than a true protective effect. Additionally, ADHD results should be interpreted with caution given likely power limitations. Future studies should stratify by concussion severity, mechanism of injury, and inter-injury interval.</w:t>
      </w:r>
    </w:p>
    <w:p>
      <w:pPr>
        <w:spacing w:line="480" w:lineRule="auto" w:after="240" w:before="0"/>
        <w:jc w:val="left"/>
      </w:pPr>
      <w:r>
        <w:rPr>
          <w:rFonts w:ascii="Times New Roman" w:cs="Times New Roman" w:eastAsia="Times New Roman" w:hAnsi="Times New Roman"/>
          <w:b w:val="false"/>
          <w:bCs w:val="false"/>
          <w:sz w:val="24"/>
          <w:szCs w:val="24"/>
        </w:rPr>
        <w:t xml:space="preserve">In summary, childhood concussion is associated with lasting psychiatric risk that is primarily established after the first injury. These results support the need for long-term mental health monitoring and intervention after even a single concussion, shifting the clinical paradigm from one focused on recurrent injury to one that recognizes every concussion as a significant risk-elevating event.</w:t>
      </w:r>
    </w:p>
    <w:p>
      <w:pPr>
        <w:spacing w:line="480" w:lineRule="auto" w:before="240" w:after="240"/>
      </w:pPr>
      <w:r>
        <w:rPr>
          <w:rFonts w:ascii="Times New Roman" w:cs="Times New Roman" w:eastAsia="Times New Roman" w:hAnsi="Times New Roman"/>
          <w:b/>
          <w:bCs/>
          <w:sz w:val="24"/>
          <w:szCs w:val="24"/>
          <w:u w:val="single"/>
        </w:rPr>
        <w:t xml:space="preserve">REFERENCES</w:t>
      </w:r>
    </w:p>
    <w:p>
      <w:pPr>
        <w:spacing w:line="480" w:lineRule="auto" w:after="120" w:before="0"/>
        <w:jc w:val="left"/>
      </w:pPr>
      <w:r>
        <w:rPr>
          <w:rFonts w:ascii="Times New Roman" w:cs="Times New Roman" w:eastAsia="Times New Roman" w:hAnsi="Times New Roman"/>
          <w:b w:val="false"/>
          <w:bCs w:val="false"/>
          <w:sz w:val="24"/>
          <w:szCs w:val="24"/>
        </w:rPr>
        <w:t xml:space="preserve">1. Guskiewicz, K.M. and T.C. Valovich McLeod, Pediatric Sports-related Concussion. PM&amp;R, 2011. 3(4): p. 353-364.</w:t>
      </w:r>
    </w:p>
    <w:p>
      <w:pPr>
        <w:spacing w:line="480" w:lineRule="auto" w:after="120" w:before="0"/>
        <w:jc w:val="left"/>
      </w:pPr>
      <w:r>
        <w:rPr>
          <w:rFonts w:ascii="Times New Roman" w:cs="Times New Roman" w:eastAsia="Times New Roman" w:hAnsi="Times New Roman"/>
          <w:b w:val="false"/>
          <w:bCs w:val="false"/>
          <w:sz w:val="24"/>
          <w:szCs w:val="24"/>
        </w:rPr>
        <w:t xml:space="preserve">2. Manley, G., et al., A systematic review of potential long-term effects of sport-related concussion. British Journal of Sports Medicine, 2017. 51(12): p. 969-977.</w:t>
      </w:r>
    </w:p>
    <w:p>
      <w:pPr>
        <w:spacing w:line="480" w:lineRule="auto" w:after="120" w:before="0"/>
        <w:jc w:val="left"/>
      </w:pPr>
      <w:r>
        <w:rPr>
          <w:rFonts w:ascii="Times New Roman" w:cs="Times New Roman" w:eastAsia="Times New Roman" w:hAnsi="Times New Roman"/>
          <w:b w:val="false"/>
          <w:bCs w:val="false"/>
          <w:sz w:val="24"/>
          <w:szCs w:val="24"/>
        </w:rPr>
        <w:t xml:space="preserve">3. Decq, P., et al., Long-term consequences of recurrent sports concussion. Acta Neurochirurgica, 2016. 158(2): p. 289-300.</w:t>
      </w:r>
    </w:p>
    <w:p>
      <w:pPr>
        <w:spacing w:line="480" w:lineRule="auto" w:after="120" w:before="0"/>
        <w:jc w:val="left"/>
      </w:pPr>
      <w:r>
        <w:rPr>
          <w:rFonts w:ascii="Times New Roman" w:cs="Times New Roman" w:eastAsia="Times New Roman" w:hAnsi="Times New Roman"/>
          <w:b w:val="false"/>
          <w:bCs w:val="false"/>
          <w:sz w:val="24"/>
          <w:szCs w:val="24"/>
        </w:rPr>
        <w:t xml:space="preserve">4. Doroszkiewicz, C., et al., Anxiety, Depression, and Quality of Life: A Long-Term Follow-Up Study of Patients with Persisting Concussion Symptoms. J Neurotrauma, 2021. 38(4): p. 493-505.</w:t>
      </w:r>
    </w:p>
    <w:p>
      <w:pPr>
        <w:spacing w:line="480" w:lineRule="auto" w:after="120" w:before="0"/>
        <w:jc w:val="left"/>
      </w:pPr>
      <w:r>
        <w:rPr>
          <w:rFonts w:ascii="Times New Roman" w:cs="Times New Roman" w:eastAsia="Times New Roman" w:hAnsi="Times New Roman"/>
          <w:b w:val="false"/>
          <w:bCs w:val="false"/>
          <w:sz w:val="24"/>
          <w:szCs w:val="24"/>
        </w:rPr>
        <w:t xml:space="preserve">5. Halstead, M.E., et al., American Academy of Pediatrics. Clinical report--sport-related concussion in children and adolescents. Pediatrics, 2010. 126(3): p. 597-615.</w:t>
      </w:r>
    </w:p>
    <w:p>
      <w:pPr>
        <w:spacing w:line="480" w:lineRule="auto" w:after="120" w:before="0"/>
        <w:jc w:val="left"/>
      </w:pPr>
      <w:r>
        <w:rPr>
          <w:rFonts w:ascii="Times New Roman" w:cs="Times New Roman" w:eastAsia="Times New Roman" w:hAnsi="Times New Roman"/>
          <w:b w:val="false"/>
          <w:bCs w:val="false"/>
          <w:sz w:val="24"/>
          <w:szCs w:val="24"/>
        </w:rPr>
        <w:t xml:space="preserve">6. Lumba-Brown, A., et al., Centers for Disease Control and Prevention Guideline on the Diagnosis and Management of Mild Traumatic Brain Injury Among Children. JAMA Pediatr, 2018. 172(11): p. e182853.</w:t>
      </w:r>
    </w:p>
    <w:p>
      <w:pPr>
        <w:spacing w:line="480" w:lineRule="auto" w:after="120" w:before="0"/>
        <w:jc w:val="left"/>
      </w:pPr>
      <w:r>
        <w:rPr>
          <w:rFonts w:ascii="Times New Roman" w:cs="Times New Roman" w:eastAsia="Times New Roman" w:hAnsi="Times New Roman"/>
          <w:b w:val="false"/>
          <w:bCs w:val="false"/>
          <w:sz w:val="24"/>
          <w:szCs w:val="24"/>
        </w:rPr>
        <w:t xml:space="preserve">7. Weissman, B., et al., CDC's guideline on pediatric mild traumatic brain injury: Recommendations for neurologists. Neurol Clin Pract, 2019. 9(3): p. 241-249.</w:t>
      </w:r>
    </w:p>
    <w:p>
      <w:pPr>
        <w:spacing w:line="480" w:lineRule="auto" w:after="120" w:before="0"/>
        <w:jc w:val="left"/>
      </w:pPr>
      <w:r>
        <w:rPr>
          <w:rFonts w:ascii="Times New Roman" w:cs="Times New Roman" w:eastAsia="Times New Roman" w:hAnsi="Times New Roman"/>
          <w:b w:val="false"/>
          <w:bCs w:val="false"/>
          <w:sz w:val="24"/>
          <w:szCs w:val="24"/>
        </w:rPr>
        <w:t xml:space="preserve">8. Rice, S.M., et al., Sport-related concussion and mental health outcomes in elite athletes: a systematic review. Sports medicine, 2018. 48: p. 447-465.</w:t>
      </w:r>
    </w:p>
    <w:p>
      <w:pPr>
        <w:spacing w:line="480" w:lineRule="auto" w:after="120" w:before="0"/>
        <w:jc w:val="left"/>
      </w:pPr>
      <w:r>
        <w:rPr>
          <w:rFonts w:ascii="Times New Roman" w:cs="Times New Roman" w:eastAsia="Times New Roman" w:hAnsi="Times New Roman"/>
          <w:b w:val="false"/>
          <w:bCs w:val="false"/>
          <w:sz w:val="24"/>
          <w:szCs w:val="24"/>
        </w:rPr>
        <w:t xml:space="preserve">9. Kerr, Z.Y., et al., Association between concussion and mental health in former collegiate athletes. Injury epidemiology, 2014. 1: p. 1-10.</w:t>
      </w:r>
    </w:p>
    <w:p>
      <w:pPr>
        <w:spacing w:line="480" w:lineRule="auto" w:after="120" w:before="0"/>
        <w:jc w:val="left"/>
      </w:pPr>
      <w:r>
        <w:rPr>
          <w:rFonts w:ascii="Times New Roman" w:cs="Times New Roman" w:eastAsia="Times New Roman" w:hAnsi="Times New Roman"/>
          <w:b w:val="false"/>
          <w:bCs w:val="false"/>
          <w:sz w:val="24"/>
          <w:szCs w:val="24"/>
        </w:rPr>
        <w:t xml:space="preserve">10. Eagle, S.R., A.P. Kontos, and C. Connaboy, Association of impulsivity, physical development, and mental health to perceptual-motor control after concussion in adolescents. Eur J Sport Sci, 2022. 22(12): p. 1889-1897.</w:t>
      </w:r>
    </w:p>
    <w:p>
      <w:pPr>
        <w:spacing w:line="480" w:lineRule="auto" w:after="120" w:before="0"/>
        <w:jc w:val="left"/>
      </w:pPr>
      <w:r>
        <w:rPr>
          <w:rFonts w:ascii="Times New Roman" w:cs="Times New Roman" w:eastAsia="Times New Roman" w:hAnsi="Times New Roman"/>
          <w:b w:val="false"/>
          <w:bCs w:val="false"/>
          <w:sz w:val="24"/>
          <w:szCs w:val="24"/>
        </w:rPr>
        <w:t xml:space="preserve">11. Gornall, A., et al., Psychological Predictors of Mental Health Difficulties After Pediatric Concussion. J Neurotrauma, 2024. 41(13-14): p. e1639-e1648.</w:t>
      </w:r>
    </w:p>
    <w:p>
      <w:pPr>
        <w:spacing w:line="480" w:lineRule="auto" w:after="120" w:before="0"/>
        <w:jc w:val="left"/>
      </w:pPr>
      <w:r>
        <w:rPr>
          <w:rFonts w:ascii="Times New Roman" w:cs="Times New Roman" w:eastAsia="Times New Roman" w:hAnsi="Times New Roman"/>
          <w:b w:val="false"/>
          <w:bCs w:val="false"/>
          <w:sz w:val="24"/>
          <w:szCs w:val="24"/>
        </w:rPr>
        <w:t xml:space="preserve">12. Ledoux, A.A., et al., Risk of Mental Health Problems in Children and Youths Following Concussion. JAMA Netw Open, 2022. 5(3): p. e221235.</w:t>
      </w:r>
    </w:p>
    <w:p>
      <w:pPr>
        <w:spacing w:line="480" w:lineRule="auto" w:after="120" w:before="0"/>
        <w:jc w:val="left"/>
      </w:pPr>
      <w:r>
        <w:rPr>
          <w:rFonts w:ascii="Times New Roman" w:cs="Times New Roman" w:eastAsia="Times New Roman" w:hAnsi="Times New Roman"/>
          <w:b w:val="false"/>
          <w:bCs w:val="false"/>
          <w:sz w:val="24"/>
          <w:szCs w:val="24"/>
        </w:rPr>
        <w:t xml:space="preserve">13. Russell, K., et al., Incidence of Subsequent Mental Health Disorders and Social Adversity Following Pediatric Concussion: A Longitudinal, Population-Based Study. J Pediatr, 2023. 259: p. 113436.</w:t>
      </w:r>
    </w:p>
    <w:p>
      <w:pPr>
        <w:spacing w:line="480" w:lineRule="auto" w:after="120" w:before="0"/>
        <w:jc w:val="left"/>
      </w:pPr>
      <w:r>
        <w:rPr>
          <w:rFonts w:ascii="Times New Roman" w:cs="Times New Roman" w:eastAsia="Times New Roman" w:hAnsi="Times New Roman"/>
          <w:b w:val="false"/>
          <w:bCs w:val="false"/>
          <w:sz w:val="24"/>
          <w:szCs w:val="24"/>
        </w:rPr>
        <w:t xml:space="preserve">14. Yang, M.N., et al., Adolescent Concussion and Mental Health Outcomes: A Population-based Study. Am J Health Behav, 2019. 43(2): p. 258-265.</w:t>
      </w:r>
    </w:p>
    <w:p>
      <w:pPr>
        <w:spacing w:line="480" w:lineRule="auto" w:after="120" w:before="0"/>
        <w:jc w:val="left"/>
      </w:pPr>
      <w:r>
        <w:rPr>
          <w:rFonts w:ascii="Times New Roman" w:cs="Times New Roman" w:eastAsia="Times New Roman" w:hAnsi="Times New Roman"/>
          <w:b w:val="false"/>
          <w:bCs w:val="false"/>
          <w:sz w:val="24"/>
          <w:szCs w:val="24"/>
        </w:rPr>
        <w:t xml:space="preserve">15. Gornall, A., et al., Mental health after paediatric concussion: a systematic review and meta-analysis. British journal of sports medicine, 2021. 55(18): p. 1048-1058.</w:t>
      </w:r>
    </w:p>
    <w:p>
      <w:pPr>
        <w:spacing w:line="480" w:lineRule="auto" w:after="120" w:before="0"/>
        <w:jc w:val="left"/>
      </w:pPr>
      <w:r>
        <w:rPr>
          <w:rFonts w:ascii="Times New Roman" w:cs="Times New Roman" w:eastAsia="Times New Roman" w:hAnsi="Times New Roman"/>
          <w:b w:val="false"/>
          <w:bCs w:val="false"/>
          <w:sz w:val="24"/>
          <w:szCs w:val="24"/>
        </w:rPr>
        <w:t xml:space="preserve">16. Ludwig, R.J., et al., A comprehensive review of methodologies and application to use the real-world data and analytics platform TriNetX. Frontiers in pharmacology, 2025. 16: p. 1516126.</w:t>
      </w:r>
    </w:p>
    <w:p>
      <w:pPr>
        <w:spacing w:line="480" w:lineRule="auto" w:after="120" w:before="0"/>
        <w:jc w:val="left"/>
      </w:pPr>
      <w:r>
        <w:rPr>
          <w:rFonts w:ascii="Times New Roman" w:cs="Times New Roman" w:eastAsia="Times New Roman" w:hAnsi="Times New Roman"/>
          <w:b w:val="false"/>
          <w:bCs w:val="false"/>
          <w:sz w:val="24"/>
          <w:szCs w:val="24"/>
        </w:rPr>
        <w:t xml:space="preserve">17. Emery, C.A., et al., A Systematic Review of Psychiatric, Psychological, and Behavioural Outcomes following Mild Traumatic Brain Injury in Children and Adolescents. The Canadian Journal of Psychiatry, 2016. 61(5): p. 259-269.</w:t>
      </w:r>
    </w:p>
    <w:p>
      <w:pPr>
        <w:spacing w:line="480" w:lineRule="auto" w:after="120" w:before="0"/>
        <w:jc w:val="left"/>
      </w:pPr>
      <w:r>
        <w:rPr>
          <w:rFonts w:ascii="Times New Roman" w:cs="Times New Roman" w:eastAsia="Times New Roman" w:hAnsi="Times New Roman"/>
          <w:b w:val="false"/>
          <w:bCs w:val="false"/>
          <w:sz w:val="24"/>
          <w:szCs w:val="24"/>
        </w:rPr>
        <w:t xml:space="preserve">18. Huw Williams, W., et al., Self-reported traumatic brain injury in male young offenders: a risk factor for re-offending, poor mental health and violence? Neuropsychological rehabilitation, 2010. 20(6): p. 801-812.</w:t>
      </w:r>
    </w:p>
    <w:p>
      <w:pPr>
        <w:spacing w:line="480" w:lineRule="auto" w:after="120" w:before="0"/>
        <w:jc w:val="left"/>
      </w:pPr>
      <w:r>
        <w:rPr>
          <w:rFonts w:ascii="Times New Roman" w:cs="Times New Roman" w:eastAsia="Times New Roman" w:hAnsi="Times New Roman"/>
          <w:b w:val="false"/>
          <w:bCs w:val="false"/>
          <w:sz w:val="24"/>
          <w:szCs w:val="24"/>
        </w:rPr>
        <w:t xml:space="preserve">19. Max, J.E., et al., Psychiatric disorders in children and adolescents after severe traumatic brain injury: a controlled study. Journal of the American Academy of Child &amp; Adolescent Psychiatry, 1998. 37(8): p. 832-840.</w:t>
      </w:r>
    </w:p>
    <w:p>
      <w:pPr>
        <w:spacing w:line="480" w:lineRule="auto" w:after="120" w:before="0"/>
        <w:jc w:val="left"/>
      </w:pPr>
      <w:r>
        <w:rPr>
          <w:rFonts w:ascii="Times New Roman" w:cs="Times New Roman" w:eastAsia="Times New Roman" w:hAnsi="Times New Roman"/>
          <w:b w:val="false"/>
          <w:bCs w:val="false"/>
          <w:sz w:val="24"/>
          <w:szCs w:val="24"/>
        </w:rPr>
        <w:t xml:space="preserve">20. CDC HEADS UP. Centers for Disease Control and Prevention. Accessed 2025.</w:t>
      </w:r>
    </w:p>
    <w:p>
      <w:pPr>
        <w:spacing w:line="480" w:lineRule="auto" w:after="120" w:before="0"/>
        <w:jc w:val="left"/>
      </w:pPr>
      <w:r>
        <w:rPr>
          <w:rFonts w:ascii="Times New Roman" w:cs="Times New Roman" w:eastAsia="Times New Roman" w:hAnsi="Times New Roman"/>
          <w:b w:val="false"/>
          <w:bCs w:val="false"/>
          <w:sz w:val="24"/>
          <w:szCs w:val="24"/>
        </w:rPr>
        <w:t xml:space="preserve">21-23. (Placeholder references for inter-injury interval studies)</w:t>
      </w:r>
    </w:p>
    <w:p>
      <w:pPr>
        <w:spacing w:line="480" w:lineRule="auto" w:after="240" w:before="0"/>
        <w:jc w:val="left"/>
      </w:pPr>
      <w:r>
        <w:rPr>
          <w:rFonts w:ascii="Times New Roman" w:cs="Times New Roman" w:eastAsia="Times New Roman" w:hAnsi="Times New Roman"/>
          <w:b w:val="false"/>
          <w:bCs w:val="false"/>
          <w:sz w:val="24"/>
          <w:szCs w:val="24"/>
        </w:rPr>
        <w:t xml:space="preserve">24. Kerr, Z.Y., et al., Concussion-Related Protocols and Preparticipation Assessments Used for Sport-Related Concussion at the Collegiate Level. J Athl Train, 2015. 50(10): p. 1081-1090.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2026-03-11T15:35:40.736Z</dcterms:created>
  <dcterms:modified xsi:type="dcterms:W3CDTF">2026-03-11T15:35:40.737Z</dcterms:modified>
</cp:coreProperties>
</file>

<file path=docProps/custom.xml><?xml version="1.0" encoding="utf-8"?>
<Properties xmlns="http://schemas.openxmlformats.org/officeDocument/2006/custom-properties" xmlns:vt="http://schemas.openxmlformats.org/officeDocument/2006/docPropsVTypes"/>
</file>