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r>
        <w:t xml:space="preserve"/>
      </w:r>
    </w:p>
    <w:p>
      <w:pPr>
        <w:spacing w:line="480" w:lineRule="auto"/>
      </w:pPr>
      <w:r>
        <w:t xml:space="preserve"/>
      </w:r>
    </w:p>
    <w:p>
      <w:pPr>
        <w:spacing w:line="480" w:lineRule="auto"/>
        <w:jc w:val="center"/>
      </w:pPr>
      <w:r>
        <w:rPr>
          <w:rFonts w:ascii="Times New Roman" w:cs="Times New Roman" w:eastAsia="Times New Roman" w:hAnsi="Times New Roman"/>
          <w:b/>
          <w:bCs/>
          <w:sz w:val="24"/>
          <w:szCs w:val="24"/>
        </w:rPr>
        <w:t xml:space="preserve">The First Concussion is the Critical Event: Childhood Concussions and Long-Term Risk of Mental Health and Substance Use Disorders</w:t>
      </w:r>
    </w:p>
    <w:p>
      <w:pPr>
        <w:spacing w:line="480" w:lineRule="auto"/>
      </w:pPr>
      <w:r>
        <w:t xml:space="preserve"/>
      </w:r>
    </w:p>
    <w:p>
      <w:pPr>
        <w:spacing w:line="480" w:lineRule="auto"/>
        <w:jc w:val="center"/>
      </w:pPr>
      <w:r>
        <w:rPr>
          <w:rFonts w:ascii="Times New Roman" w:cs="Times New Roman" w:eastAsia="Times New Roman" w:hAnsi="Times New Roman"/>
          <w:sz w:val="22"/>
          <w:szCs w:val="22"/>
        </w:rPr>
        <w:t xml:space="preserve">Keywords: Concussion, Substance Use Disorder, Mood Disorder, Traumatic Brain Injury, Pediatrics, Active Comparator</w:t>
      </w:r>
    </w:p>
    <w:p>
      <w:pPr>
        <w:spacing w:line="480" w:lineRule="auto"/>
      </w:pPr>
      <w:r>
        <w:t xml:space="preserve"/>
      </w:r>
    </w:p>
    <w:p>
      <w:pPr>
        <w:spacing w:line="480" w:lineRule="auto"/>
        <w:jc w:val="center"/>
      </w:pPr>
      <w:r>
        <w:rPr>
          <w:rFonts w:ascii="Times New Roman" w:cs="Times New Roman" w:eastAsia="Times New Roman" w:hAnsi="Times New Roman"/>
          <w:sz w:val="22"/>
          <w:szCs w:val="22"/>
        </w:rPr>
        <w:t xml:space="preserve">Hunter Michael Eby</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Sarah E. Roehrs</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Peyton Roth</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Amanda Springer</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Adian Butler</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Grant Nelson</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Nour Ali Zrien</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22"/>
          <w:szCs w:val="22"/>
        </w:rPr>
        <w:t xml:space="preserve">, Robert McCullumsmith</w:t>
      </w:r>
      <w:r>
        <w:rPr>
          <w:rFonts w:ascii="Times New Roman" w:cs="Times New Roman" w:eastAsia="Times New Roman" w:hAnsi="Times New Roman"/>
          <w:sz w:val="16"/>
          <w:szCs w:val="16"/>
          <w:vertAlign w:val="superscript"/>
        </w:rPr>
        <w:t xml:space="preserve">1,2</w:t>
      </w:r>
    </w:p>
    <w:p>
      <w:pPr>
        <w:spacing w:line="480" w:lineRule="auto"/>
      </w:pPr>
      <w:r>
        <w:t xml:space="preserve"/>
      </w:r>
    </w:p>
    <w:p>
      <w:pPr>
        <w:spacing w:line="480" w:lineRule="auto"/>
        <w:jc w:val="center"/>
      </w:pPr>
      <w:r>
        <w:rPr>
          <w:rFonts w:ascii="Times New Roman" w:cs="Times New Roman" w:eastAsia="Times New Roman" w:hAnsi="Times New Roman"/>
          <w:sz w:val="22"/>
          <w:szCs w:val="22"/>
        </w:rPr>
        <w:t xml:space="preserve">1Department of Neurosciences and Psychiatry, University of Toledo College of Medicine and Life Sciences, Toledo, OH, USA</w:t>
      </w:r>
    </w:p>
    <w:p>
      <w:pPr>
        <w:spacing w:line="480" w:lineRule="auto"/>
        <w:jc w:val="center"/>
      </w:pPr>
      <w:r>
        <w:rPr>
          <w:rFonts w:ascii="Times New Roman" w:cs="Times New Roman" w:eastAsia="Times New Roman" w:hAnsi="Times New Roman"/>
          <w:sz w:val="22"/>
          <w:szCs w:val="22"/>
        </w:rPr>
        <w:t xml:space="preserve">2Promedica, Toledo, OH, USA</w:t>
      </w:r>
    </w:p>
    <w:p>
      <w:pPr>
        <w:spacing w:line="480" w:lineRule="auto"/>
      </w:pPr>
      <w:r>
        <w:t xml:space="preserve"/>
      </w:r>
    </w:p>
    <w:p>
      <w:pPr>
        <w:spacing w:line="480" w:lineRule="auto"/>
        <w:jc w:val="center"/>
      </w:pPr>
      <w:r>
        <w:rPr>
          <w:rFonts w:ascii="Times New Roman" w:cs="Times New Roman" w:eastAsia="Times New Roman" w:hAnsi="Times New Roman"/>
          <w:sz w:val="22"/>
          <w:szCs w:val="22"/>
        </w:rPr>
        <w:t xml:space="preserve">Corresponding Author: Robert E. McCullumsmith, M.D., Ph.D., Department of Neurosciences, University of Toledo College of Medicine, 3000 Arlington Avenue, Block Health Science Building, Mail Stop 1007, Toledo, OH 43614, Robert.McCullumsmith@utoledo.edu</w:t>
      </w:r>
    </w:p>
    <w:p>
      <w:pPr>
        <w:spacing w:line="480" w:lineRule="auto"/>
      </w:pPr>
      <w:r>
        <w:t xml:space="preserve"/>
      </w:r>
    </w:p>
    <w:p>
      <w:pPr>
        <w:spacing w:line="480" w:lineRule="auto"/>
        <w:jc w:val="left"/>
      </w:pPr>
      <w:r>
        <w:rPr>
          <w:rFonts w:ascii="Times New Roman" w:cs="Times New Roman" w:eastAsia="Times New Roman" w:hAnsi="Times New Roman"/>
          <w:b/>
          <w:bCs/>
          <w:sz w:val="22"/>
          <w:szCs w:val="22"/>
        </w:rPr>
        <w:t xml:space="preserve">Author Contributions:</w:t>
      </w:r>
    </w:p>
    <w:p>
      <w:pPr>
        <w:spacing w:line="480" w:lineRule="auto"/>
        <w:jc w:val="both"/>
      </w:pPr>
      <w:r>
        <w:t xml:space="preserve">Designed the experiments: HME</w:t>
      </w:r>
    </w:p>
    <w:p>
      <w:pPr>
        <w:spacing w:line="480" w:lineRule="auto"/>
        <w:jc w:val="both"/>
      </w:pPr>
      <w:r>
        <w:t xml:space="preserve">Drafted the manuscript: HME</w:t>
      </w:r>
    </w:p>
    <w:p>
      <w:pPr>
        <w:spacing w:line="480" w:lineRule="auto"/>
        <w:jc w:val="both"/>
      </w:pPr>
      <w:r>
        <w:t xml:space="preserve">Wrote the manuscript: HME</w:t>
      </w:r>
    </w:p>
    <w:p>
      <w:pPr>
        <w:spacing w:line="480" w:lineRule="auto"/>
        <w:jc w:val="both"/>
      </w:pPr>
      <w:r>
        <w:t xml:space="preserve">Performed the experiments: HME</w:t>
      </w:r>
    </w:p>
    <w:p>
      <w:pPr>
        <w:spacing w:line="480" w:lineRule="auto"/>
        <w:jc w:val="both"/>
      </w:pPr>
      <w:r>
        <w:t xml:space="preserve">Revision of manuscript: All authors contributed</w:t>
      </w:r>
    </w:p>
    <w:p>
      <w:pPr>
        <w:spacing w:line="480" w:lineRule="auto"/>
      </w:pPr>
      <w:r>
        <w:t xml:space="preserve"/>
      </w:r>
    </w:p>
    <w:p>
      <w:pPr>
        <w:spacing w:line="480" w:lineRule="auto"/>
        <w:jc w:val="left"/>
      </w:pPr>
      <w:r>
        <w:rPr>
          <w:rFonts w:ascii="Times New Roman" w:cs="Times New Roman" w:eastAsia="Times New Roman" w:hAnsi="Times New Roman"/>
          <w:sz w:val="22"/>
          <w:szCs w:val="22"/>
        </w:rPr>
        <w:t xml:space="preserve">Funding: _____ (_____)</w:t>
      </w:r>
    </w:p>
    <w:p>
      <w:pPr>
        <w:pageBreakBefore/>
      </w:pPr>
      <w:r>
        <w:t xml:space="preserve"/>
      </w:r>
    </w:p>
    <w:p>
      <w:pPr>
        <w:spacing w:line="480" w:lineRule="auto" w:before="240" w:after="240"/>
        <w:jc w:val="left"/>
      </w:pPr>
      <w:r>
        <w:rPr>
          <w:rFonts w:ascii="Times New Roman" w:cs="Times New Roman" w:eastAsia="Times New Roman" w:hAnsi="Times New Roman"/>
          <w:b/>
          <w:bCs/>
          <w:sz w:val="24"/>
          <w:szCs w:val="24"/>
          <w:u w:val="single"/>
        </w:rPr>
        <w:t xml:space="preserve">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Abbreviation</w:t>
            </w:r>
          </w:p>
        </w:tc>
        <w:tc>
          <w:tcPr>
            <w:tcW w:type="dxa" w:w="736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Definition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RR</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Relative risk</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CI</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Confidence interval</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HR</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Hazard ratio</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SUD</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Substance use disorder</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ADHD</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Attention deficit hyperactivity disorder</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HCO</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Healthcare Organization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C1x</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Single concussion cohort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C2x</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Two concussion cohort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C3x</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Three concussion cohort</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CTL</w:t>
            </w:r>
          </w:p>
        </w:tc>
        <w:tc>
          <w:tcPr>
            <w:tcW w:type="dxa" w:w="7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Orthopedic injury control cohort</w:t>
            </w:r>
          </w:p>
        </w:tc>
      </w:tr>
    </w:tbl>
    <w:p>
      <w:pPr>
        <w:pageBreakBefore/>
      </w:pPr>
      <w:r>
        <w:t xml:space="preserve"/>
      </w:r>
    </w:p>
    <w:p>
      <w:pPr>
        <w:spacing w:line="480" w:lineRule="auto" w:before="240" w:after="240"/>
        <w:jc w:val="left"/>
      </w:pPr>
      <w:r>
        <w:rPr>
          <w:rFonts w:ascii="Times New Roman" w:cs="Times New Roman" w:eastAsia="Times New Roman" w:hAnsi="Times New Roman"/>
          <w:b/>
          <w:bCs/>
          <w:sz w:val="24"/>
          <w:szCs w:val="24"/>
          <w:u w:val="single"/>
        </w:rPr>
        <w:t xml:space="preserve">INTRODUCTION</w:t>
      </w:r>
    </w:p>
    <w:p>
      <w:pPr>
        <w:spacing w:line="480" w:lineRule="auto"/>
        <w:jc w:val="both"/>
      </w:pPr>
      <w:r>
        <w:t xml:space="preserve">Childhood concussions are a common injury, particularly in youth engaged in contact sports [1]. While acute effects are well studied, the long-term psychiatric implications remain under active investigation [2]. Emerging evidence links concussions to mental health outcomes including depression, anxiety, and substance use disorders (SUD) [3, 4].</w:t>
      </w:r>
    </w:p>
    <w:p>
      <w:pPr>
        <w:spacing w:line="480" w:lineRule="auto"/>
      </w:pPr>
      <w:r>
        <w:t xml:space="preserve"/>
      </w:r>
    </w:p>
    <w:p>
      <w:pPr>
        <w:spacing w:line="480" w:lineRule="auto"/>
        <w:jc w:val="both"/>
      </w:pPr>
      <w:r>
        <w:t xml:space="preserve">The current guidelines for pediatric concussions pertain primarily to acute care protocols. An initial evaluation includes inquiring about symptoms and performing a neurological and cognitive examination [5]. Follow-up recommendations include a primary healthcare visit 2–3 days after an initial concussion evaluation with subsequent evaluations as per healthcare provider's follow-up instructions [6, 7]. For management of a concussion, patients are recommended to have cognitive and physical rest, usually between 24 to 48 hours, with close monitoring of symptoms [5–7]. Following a period of rest, patients may gradually return to daily activities [5–7]. The CDC provides further guidelines for the management of posttraumatic headache, vestibulo-oculomotor dysfunction, sleep, and cognitive impairment [6]. The American Academy of Pediatrics recommends monitoring concussion patients with preexisting mental health disorders due to the potential exacerbation of symptoms following a concussion [5]. However, there are no clear guidelines for the long-term monitoring of mental health conditions in pediatric patients with a history of concussion(s).</w:t>
      </w:r>
    </w:p>
    <w:p>
      <w:pPr>
        <w:spacing w:line="480" w:lineRule="auto"/>
      </w:pPr>
      <w:r>
        <w:t xml:space="preserve"/>
      </w:r>
    </w:p>
    <w:p>
      <w:pPr>
        <w:spacing w:line="480" w:lineRule="auto"/>
        <w:jc w:val="both"/>
      </w:pPr>
      <w:r>
        <w:t xml:space="preserve">Current guidelines for management of concussions rely heavily on studies using retrospective survey data, typically from current or former athletes using self-reported data for concussion history and psychiatric symptoms [8]. These studies typically involve small sample sizes, are limited to sport-focused cohorts, and depend on recall accuracy, introducing bias and reducing generalizability. Typical methodology involves matching individuals with self-reported concussions to those without, then comparing rates of mental health conditions across these groups [8, 9]. In addition, most of these studies focus on mental health outcomes after a single concussion [10–14] (Table 1). Thus, it remains unclear whether multiple concussions confer greater risk of mental health outcomes than a single event [2, 3, 9] (Table 1). Further, previous pediatric concussion studies focused on follow-up timelines within a few weeks, months, or a single year [10, 11, 14] (Table 1). As a result, there is limited data regarding whether the mental health findings associated with concussion are sustained long-term. Studies looking at long-term outcomes are limited in sample size, reducing the confidence in the findings [10, 13] (Table 1).</w:t>
      </w:r>
    </w:p>
    <w:p>
      <w:pPr>
        <w:spacing w:line="480" w:lineRule="auto"/>
      </w:pPr>
      <w:r>
        <w:t xml:space="preserve"/>
      </w:r>
    </w:p>
    <w:p>
      <w:pPr>
        <w:spacing w:line="480" w:lineRule="auto"/>
        <w:jc w:val="both"/>
      </w:pPr>
      <w:r>
        <w:t xml:space="preserve">A methodological concern in prior research has been the choice of comparator group. Studies using general pediatric populations as controls may introduce ascertainment bias: children with any healthcare visit are a heterogeneous group that includes those seen specifically for behavioral and developmental concerns, inflating baseline rates of psychiatric diagnoses in the control arm. To address this, we employed an active comparator design using children with traumatic forearm fractures (ICD-10-CM: S52) as the reference group for the primary comparison. This approach better controls for activity level, healthcare utilization, and demographic factors common to physically active children.</w:t>
      </w:r>
    </w:p>
    <w:p>
      <w:pPr>
        <w:spacing w:line="480" w:lineRule="auto"/>
      </w:pPr>
      <w:r>
        <w:t xml:space="preserve"/>
      </w:r>
    </w:p>
    <w:p>
      <w:pPr>
        <w:spacing w:line="480" w:lineRule="auto"/>
        <w:jc w:val="both"/>
      </w:pPr>
      <w:r>
        <w:t xml:space="preserve">A critical question that remains unanswered is whether the psychiatric risk associated with concussion follows a dose-response pattern—that is, whether each additional concussion incrementally increases risk—or whether the first concussion itself represents the pivotal neurological insult. To address these gaps, we employed a stepwise comparison: first concussion versus active orthopedic injury controls, two concussions versus one concussion, and three concussions versus two concussions. This approach isolates the marginal contribution of each additional concussion.</w:t>
      </w:r>
    </w:p>
    <w:p>
      <w:pPr>
        <w:spacing w:line="480" w:lineRule="auto"/>
      </w:pPr>
      <w:r>
        <w:t xml:space="preserve"/>
      </w:r>
    </w:p>
    <w:p>
      <w:pPr>
        <w:spacing w:line="480" w:lineRule="auto"/>
        <w:jc w:val="both"/>
      </w:pPr>
      <w:r>
        <w:t xml:space="preserve">We utilized TriNetX, a federated research network with more than 100 healthcare organizations and over 100 million patients, to conduct this analysis over a 5-year follow-up period. Our findings reveal that the first concussion drives the large majority of long-term psychiatric risk, with limited evidence of dose-response for subsequent injuries. These results provide the foundation for our proposed Holistic Evaluation of Anxiety, Depression, and Substance Use After Concussion in Youth (HEADWAY) recommendation, which advocates for structured long-term surveillance of all pediatric patients after even a single concussion.</w:t>
      </w:r>
    </w:p>
    <w:p>
      <w:pPr>
        <w:spacing w:line="480" w:lineRule="auto"/>
        <w:jc w:val="left"/>
      </w:pPr>
      <w:r>
        <w:rPr>
          <w:rFonts w:ascii="Times New Roman" w:cs="Times New Roman" w:eastAsia="Times New Roman" w:hAnsi="Times New Roman"/>
          <w:b/>
          <w:bCs/>
          <w:sz w:val="22"/>
          <w:szCs w:val="22"/>
        </w:rPr>
        <w:t xml:space="preserve">Table 1.  Previous literature on pediatric concussions and mental health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200"/>
        <w:gridCol w:w="900"/>
        <w:gridCol w:w="1560"/>
        <w:gridCol w:w="4100"/>
      </w:tblGrid>
      <w:tr>
        <w:tc>
          <w:tcPr>
            <w:tcW w:type="dxa" w:w="7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Age (yrs)</w:t>
            </w:r>
          </w:p>
        </w:tc>
        <w:tc>
          <w:tcPr>
            <w:tcW w:type="dxa" w:w="9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N</w:t>
            </w:r>
          </w:p>
        </w:tc>
        <w:tc>
          <w:tcPr>
            <w:tcW w:type="dxa" w:w="12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Follow-up</w:t>
            </w:r>
          </w:p>
        </w:tc>
        <w:tc>
          <w:tcPr>
            <w:tcW w:type="dxa" w:w="9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Conc #</w:t>
            </w:r>
          </w:p>
        </w:tc>
        <w:tc>
          <w:tcPr>
            <w:tcW w:type="dxa" w:w="156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Outcome Tools</w:t>
            </w:r>
          </w:p>
        </w:tc>
        <w:tc>
          <w:tcPr>
            <w:tcW w:type="dxa" w:w="41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Outcomes</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12–18 [10]</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48</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21 days</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Barratt, GAD-7, PHQ-9</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 PHQ-9; ↑ attention impulsivity</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5–&lt;18 [11]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115</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2 wks, 3 mo</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CBCL</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 Internalizing; ↑ Externalizing</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&gt;18 [24]</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204</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15 yr</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≥3 vs 0</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MCS, PHQ, CAGE</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 MCS; ↑ depression</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5–18 [12]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152,321</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N/A</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Database</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 mental health issues</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10–18 [13]</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2,082</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11–16 yr</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Repository</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 mood, SUD, ADHD</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&lt;18 [14]</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3,427</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12 mo</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YRBSS</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 self-harm, depression</w:t>
            </w:r>
          </w:p>
        </w:tc>
      </w:tr>
      <w:tr>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Adult [4]</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105</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4–7 yr</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0,1,2+</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DASS-42</w:t>
            </w:r>
          </w:p>
        </w:tc>
        <w:tc>
          <w:tcPr>
            <w:tcW w:type="dxa" w:w="4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 Anxiety, depression</w:t>
            </w:r>
          </w:p>
        </w:tc>
      </w:tr>
    </w:tbl>
    <w:p>
      <w:pPr>
        <w:pageBreakBefore/>
      </w:pPr>
      <w:r>
        <w:t xml:space="preserve"/>
      </w:r>
    </w:p>
    <w:p>
      <w:pPr>
        <w:spacing w:line="480" w:lineRule="auto" w:before="240" w:after="240"/>
        <w:jc w:val="left"/>
      </w:pPr>
      <w:r>
        <w:rPr>
          <w:rFonts w:ascii="Times New Roman" w:cs="Times New Roman" w:eastAsia="Times New Roman" w:hAnsi="Times New Roman"/>
          <w:b/>
          <w:bCs/>
          <w:sz w:val="24"/>
          <w:szCs w:val="24"/>
          <w:u w:val="single"/>
        </w:rPr>
        <w:t xml:space="preserve">METHODS</w:t>
      </w:r>
    </w:p>
    <w:p>
      <w:pPr>
        <w:spacing w:line="480" w:lineRule="auto"/>
        <w:jc w:val="both"/>
      </w:pPr>
      <w:r>
        <w:t xml:space="preserve">This retrospective cohort study utilized de-identified electronic medical record data from TriNetX, a global federated health research network comprising over 100 healthcare organizations (HCOs) in the "Research" network [16]. Data was extracted in March 2026 using the TriNetX Compare Outcomes tool. The study examined mental health and substance use outcomes among individuals with a history of one (C1x), two (C2x), or three (C3x) concussions before age 18, analyzed over a 5-year (1,825-day) follow-up period from the index event.</w:t>
      </w:r>
    </w:p>
    <w:p>
      <w:pPr>
        <w:spacing w:line="480" w:lineRule="auto"/>
      </w:pPr>
      <w:r>
        <w:t xml:space="preserve"/>
      </w:r>
    </w:p>
    <w:p>
      <w:pPr>
        <w:spacing w:line="480" w:lineRule="auto"/>
        <w:jc w:val="both"/>
      </w:pPr>
      <w:r>
        <w:t xml:space="preserve">We employed a stepwise comparison design. For the primary comparison, C1x was compared to an active orthopedic injury control group (CTL) comprising children with a forearm fracture (ICD-10-CM: S52) occurring before age 18. This active comparator design was chosen in preference to general pediatric population controls to minimize ascertainment bias arising from differential healthcare utilization and behavioral referral patterns. For the secondary comparisons, C2x was compared to C1x, and C3x was compared to C2x, isolating the marginal psychiatric risk attributable to each additional concussion.</w:t>
      </w:r>
    </w:p>
    <w:p>
      <w:pPr>
        <w:spacing w:line="480" w:lineRule="auto"/>
      </w:pPr>
      <w:r>
        <w:t xml:space="preserve"/>
      </w:r>
    </w:p>
    <w:p>
      <w:pPr>
        <w:spacing w:line="480" w:lineRule="auto"/>
        <w:jc w:val="both"/>
      </w:pPr>
      <w:r>
        <w:t xml:space="preserve">Concussed patients were identified based on at least one, two, or three documented instances of concussion (ICD-10-CM: S06.0X) occurring before age 18. Control patients in the primary comparison had a documented forearm fracture (S52) before age 18 and no documented concussion. Patients were excluded from both cohorts in the primary comparison if they had a prior diagnosis of mood disorder (F30–F39) or substance use disorder (F10–F19) before the index event. The index event was defined as the most recent qualifying concussion in the concussion cohorts, the forearm fracture in the control cohort, or the corresponding injury event in secondary comparisons.</w:t>
      </w:r>
    </w:p>
    <w:p>
      <w:pPr>
        <w:spacing w:line="480" w:lineRule="auto"/>
      </w:pPr>
      <w:r>
        <w:t xml:space="preserve"/>
      </w:r>
    </w:p>
    <w:p>
      <w:pPr>
        <w:spacing w:line="480" w:lineRule="auto"/>
        <w:jc w:val="both"/>
      </w:pPr>
      <w:r>
        <w:t xml:space="preserve">Outcomes were identified using ICD-10-CM codes and included the following: (1) Generalized substance use disorder and specific disorders (alcohol, opioid, cannabis); (2) Mood [affective] disorders (F30–F39); (3) Anxiety and related disorders (F40–F48); (4) Attention-deficit hyperactivity disorder (F90); (5) Unspecified psychosis (F29).</w:t>
      </w:r>
    </w:p>
    <w:p>
      <w:pPr>
        <w:spacing w:line="480" w:lineRule="auto"/>
      </w:pPr>
      <w:r>
        <w:t xml:space="preserve"/>
      </w:r>
    </w:p>
    <w:p>
      <w:pPr>
        <w:spacing w:line="480" w:lineRule="auto"/>
        <w:jc w:val="both"/>
      </w:pPr>
      <w:r>
        <w:t xml:space="preserve">Each outcome was analyzed using prevalence (risk) estimates and time-to-event (Kaplan-Meier survival) analysis. Cohorts were matched 1:1 using propensity scores derived from logistic regression. Matching variables included age at index, sex, race, ethnicity, mood disorders, mental and behavioral disorders due to psychoactive substance use, mental disorders due to known physiological conditions, pervasive and specific developmental disorders, behavioral and emotional disorders with onset in childhood, and BMI. TriNetX analyses included risk comparisons (risk difference, risk ratio) and Kaplan-Meier survival analysis (log-rank tests and hazard ratios). Statistical significance was defined as p &lt; 0.05.</w:t>
      </w:r>
    </w:p>
    <w:p>
      <w:pPr>
        <w:pageBreakBefore/>
      </w:pPr>
      <w:r>
        <w:t xml:space="preserve"/>
      </w:r>
    </w:p>
    <w:p>
      <w:pPr>
        <w:spacing w:line="480" w:lineRule="auto" w:before="240" w:after="240"/>
        <w:jc w:val="left"/>
      </w:pPr>
      <w:r>
        <w:rPr>
          <w:rFonts w:ascii="Times New Roman" w:cs="Times New Roman" w:eastAsia="Times New Roman" w:hAnsi="Times New Roman"/>
          <w:b/>
          <w:bCs/>
          <w:sz w:val="24"/>
          <w:szCs w:val="24"/>
          <w:u w:val="single"/>
        </w:rPr>
        <w:t xml:space="preserve">RESULTS</w:t>
      </w:r>
    </w:p>
    <w:p>
      <w:pPr>
        <w:spacing w:line="480" w:lineRule="auto"/>
        <w:jc w:val="both"/>
      </w:pPr>
      <w:r>
        <w:t xml:space="preserve">Our analysis included three propensity-score matched comparisons. The C1x versus CTL comparison yielded 48,652 matched pairs. The C2x versus C1x comparison yielded 25,559 matched pairs, and the C3x versus C2x comparison yielded 10,943 matched pairs. Propensity score matching achieved well-balanced groups across 15 key demographic and clinical variables in all three comparisons.</w:t>
      </w:r>
    </w:p>
    <w:p>
      <w:pPr>
        <w:spacing w:line="480" w:lineRule="auto"/>
      </w:pPr>
      <w:r>
        <w:t xml:space="preserve"/>
      </w:r>
    </w:p>
    <w:p>
      <w:pPr>
        <w:spacing w:line="480" w:lineRule="auto" w:before="120" w:after="120"/>
        <w:jc w:val="left"/>
      </w:pPr>
      <w:r>
        <w:rPr>
          <w:rFonts w:ascii="Times New Roman" w:cs="Times New Roman" w:eastAsia="Times New Roman" w:hAnsi="Times New Roman"/>
          <w:b/>
          <w:bCs/>
          <w:sz w:val="24"/>
          <w:szCs w:val="24"/>
          <w:u w:val="single"/>
        </w:rPr>
        <w:t xml:space="preserve">First Concussion Versus Orthopedic Controls: A Near-Doubling of Risk</w:t>
      </w:r>
    </w:p>
    <w:p>
      <w:pPr>
        <w:spacing w:line="480" w:lineRule="auto"/>
        <w:jc w:val="both"/>
      </w:pPr>
      <w:r>
        <w:t xml:space="preserve">At 5 years following a single childhood concussion, there was a substantial and significant increase in risk across all psychiatric and substance use outcomes compared to children with orthopedic injury controls (Table 2). Mood disorders were nearly doubled in the concussion cohort (RR 1.895; 95% CI 1.789–2.008; HR 1.931; 95% CI 1.820–2.048), as were anxiety disorders (RR 1.951; 95% CI 1.870–2.035; HR 2.021; 95% CI 1.934–2.113). ADHD was similarly elevated (RR 1.974; 95% CI 1.868–2.087; HR 2.016; 95% CI 1.904–2.134). Psychosis also showed a significant increase (RR 1.886; 95% CI 1.309–2.718; HR 1.887; 95% CI 1.309–2.720).</w:t>
      </w:r>
    </w:p>
    <w:p>
      <w:pPr>
        <w:spacing w:line="480" w:lineRule="auto"/>
      </w:pPr>
      <w:r>
        <w:t xml:space="preserve"/>
      </w:r>
    </w:p>
    <w:p>
      <w:pPr>
        <w:spacing w:line="480" w:lineRule="auto"/>
        <w:jc w:val="both"/>
      </w:pPr>
      <w:r>
        <w:t xml:space="preserve">Generalized SUD risk was significantly increased (RR 1.585; 95% CI 1.447–1.737; HR 1.593; 95% CI 1.453–1.747). Cannabis-related disorders showed the largest SUD effect (RR 1.947; 95% CI 1.687–2.247; HR 1.953; 95% CI 1.691–2.255), followed by alcohol-related disorders (RR 1.511; 95% CI 1.222–1.868; HR 1.512; 95% CI 1.222–1.871). Opioid-related disorders trended toward elevation but did not reach statistical significance (RR 1.472; 95% CI 0.964–2.248; p = 0.074).</w:t>
      </w:r>
    </w:p>
    <w:p>
      <w:pPr>
        <w:spacing w:line="480" w:lineRule="auto"/>
      </w:pPr>
      <w:r>
        <w:t xml:space="preserve"/>
      </w:r>
    </w:p>
    <w:p>
      <w:pPr>
        <w:spacing w:line="480" w:lineRule="auto" w:before="120" w:after="120"/>
        <w:jc w:val="left"/>
      </w:pPr>
      <w:r>
        <w:rPr>
          <w:rFonts w:ascii="Times New Roman" w:cs="Times New Roman" w:eastAsia="Times New Roman" w:hAnsi="Times New Roman"/>
          <w:b/>
          <w:bCs/>
          <w:sz w:val="24"/>
          <w:szCs w:val="24"/>
          <w:u w:val="single"/>
        </w:rPr>
        <w:t xml:space="preserve">Two Concussions Versus One Concussion: Modest Mood Effects, No SUD Escalation</w:t>
      </w:r>
    </w:p>
    <w:p>
      <w:pPr>
        <w:spacing w:line="480" w:lineRule="auto"/>
        <w:jc w:val="both"/>
      </w:pPr>
      <w:r>
        <w:t xml:space="preserve">In the C2x versus C1x comparison, the pattern diverged substantially from the primary comparison (Table 3). Mood disorders (RR 1.073; 95% CI 1.030–1.117; HR 1.127; 95% CI 1.079–1.177), anxiety disorders (RR 1.108; 95% CI 1.073–1.144; HR 1.177; 95% CI 1.135–1.220), and ADHD (RR 1.090; 95% CI 1.040–1.142; HR 1.133; 95% CI 1.077–1.191) showed modest but statistically significant increases.</w:t>
      </w:r>
    </w:p>
    <w:p>
      <w:pPr>
        <w:spacing w:line="480" w:lineRule="auto"/>
      </w:pPr>
      <w:r>
        <w:t xml:space="preserve"/>
      </w:r>
    </w:p>
    <w:p>
      <w:pPr>
        <w:spacing w:line="480" w:lineRule="auto"/>
        <w:jc w:val="both"/>
      </w:pPr>
      <w:r>
        <w:t xml:space="preserve">In contrast, substance use outcomes showed no escalation and, for some outcomes, significant reversal. Generalized SUD was significantly lower in the C2x group compared to C1x (RR 0.860; 95% CI 0.805–0.918; HR 0.898; 95% CI 0.839–0.961). Opioid-related disorders were similarly lower (RR 0.763; 95% CI 0.547–1.063; NS). Alcohol-related disorders (RR 0.940; 95% CI 0.799–1.105) and cannabis-related disorders (RR 0.951; 95% CI 0.859–1.052) showed no significant difference. Psychosis showed no significant change (RR 0.769; 95% CI 0.575–1.029).</w:t>
      </w:r>
    </w:p>
    <w:p>
      <w:pPr>
        <w:spacing w:line="480" w:lineRule="auto"/>
      </w:pPr>
      <w:r>
        <w:t xml:space="preserve"/>
      </w:r>
    </w:p>
    <w:p>
      <w:pPr>
        <w:spacing w:line="480" w:lineRule="auto" w:before="120" w:after="120"/>
        <w:jc w:val="left"/>
      </w:pPr>
      <w:r>
        <w:rPr>
          <w:rFonts w:ascii="Times New Roman" w:cs="Times New Roman" w:eastAsia="Times New Roman" w:hAnsi="Times New Roman"/>
          <w:b/>
          <w:bCs/>
          <w:sz w:val="24"/>
          <w:szCs w:val="24"/>
          <w:u w:val="single"/>
        </w:rPr>
        <w:t xml:space="preserve">Three Concussions Versus Two Concussions: No Additional Risk</w:t>
      </w:r>
    </w:p>
    <w:p>
      <w:pPr>
        <w:spacing w:line="480" w:lineRule="auto"/>
        <w:jc w:val="both"/>
      </w:pPr>
      <w:r>
        <w:t xml:space="preserve">In the C3x versus C2x comparison, the vast majority of outcomes showed no statistically significant difference (Table 4). Risk ratios clustered near 1.0 for generalized SUD (RR 0.985; 95% CI 0.893–1.087), alcohol (RR 1.187; 95% CI 0.935–1.507), cannabis (RR 1.057; 95% CI 0.912–1.225), mood disorders (RR 1.014; 95% CI 0.958–1.072), ADHD (RR 1.029; 95% CI 0.960–1.103), and opioid-related disorders (RR 1.000; 95% CI 0.622–1.607). Anxiety showed a borderline significant increase (RR 1.048; 95% CI 1.003–1.096; HR 1.083; 95% CI 1.029–1.141). Psychosis was statistically significant (RR 1.800; 95% CI 1.043–3.107) but was based on event rates below 0.5% in both cohorts and should be interpreted with caution.</w:t>
      </w:r>
    </w:p>
    <w:p>
      <w:pPr>
        <w:pageBreakBefore/>
      </w:pPr>
      <w:r>
        <w:t xml:space="preserve"/>
      </w:r>
    </w:p>
    <w:p>
      <w:pPr>
        <w:spacing w:line="480" w:lineRule="auto"/>
        <w:jc w:val="left"/>
      </w:pPr>
      <w:r>
        <w:rPr>
          <w:rFonts w:ascii="Times New Roman" w:cs="Times New Roman" w:eastAsia="Times New Roman" w:hAnsi="Times New Roman"/>
          <w:b/>
          <w:bCs/>
          <w:sz w:val="22"/>
          <w:szCs w:val="22"/>
        </w:rPr>
        <w:t xml:space="preserve">Table 2.  Risk ratios and hazard ratios for C1x versus orthopedic injury controls at 5-year follow-up. * p &lt; 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900"/>
        <w:gridCol w:w="1760"/>
        <w:gridCol w:w="900"/>
        <w:gridCol w:w="1500"/>
      </w:tblGrid>
      <w:tr>
        <w:tc>
          <w:tcPr>
            <w:tcW w:type="dxa" w:w="2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Outcome</w:t>
            </w:r>
          </w:p>
        </w:tc>
        <w:tc>
          <w:tcPr>
            <w:tcW w:type="dxa" w:w="11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C1x (%)</w:t>
            </w:r>
          </w:p>
        </w:tc>
        <w:tc>
          <w:tcPr>
            <w:tcW w:type="dxa" w:w="11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CTL (%)</w:t>
            </w:r>
          </w:p>
        </w:tc>
        <w:tc>
          <w:tcPr>
            <w:tcW w:type="dxa" w:w="9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RR</w:t>
            </w:r>
          </w:p>
        </w:tc>
        <w:tc>
          <w:tcPr>
            <w:tcW w:type="dxa" w:w="176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95% CI</w:t>
            </w:r>
          </w:p>
        </w:tc>
        <w:tc>
          <w:tcPr>
            <w:tcW w:type="dxa" w:w="9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HR</w:t>
            </w:r>
          </w:p>
        </w:tc>
        <w:tc>
          <w:tcPr>
            <w:tcW w:type="dxa" w:w="15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95% CI</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Gen SUD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2.40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1.52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1.585*</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(1.447, 1.737)</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1.593*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(1.453, 1.747)</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Alcohol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0.44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0.29</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1.511*</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(1.222, 1.868)</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1.512*</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(1.222, 1.871)</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Cannabis</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1.12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0.58</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1.947*</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(1.687, 2.247)</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1.953*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(1.691, 2.255)</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Opioid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0.11</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0.07</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1.472</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(0.964, 2.248)</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1.473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(0.964, 2.249)</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Mood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6.58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3.47</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1.895*</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(1.789, 2.008)</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1.931*</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(1.820, 2.048)</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Anxiety</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11.91</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6.10</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1.951*</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(1.870, 2.035)</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2.021*</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(1.934, 2.113)</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ADHD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7.26</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3.68</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1.974*</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(1.868, 2.087)</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2.016*</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(1.904, 2.134)</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Psychosis</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0.17</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0.09</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1.886*</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(1.309, 2.718)</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1.887*</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(1.309, 2.720)</w:t>
            </w:r>
          </w:p>
        </w:tc>
      </w:tr>
    </w:tbl>
    <w:p>
      <w:pPr>
        <w:pageBreakBefore/>
      </w:pPr>
      <w:r>
        <w:t xml:space="preserve"/>
      </w:r>
    </w:p>
    <w:p>
      <w:pPr>
        <w:spacing w:line="480" w:lineRule="auto"/>
        <w:jc w:val="left"/>
      </w:pPr>
      <w:r>
        <w:rPr>
          <w:rFonts w:ascii="Times New Roman" w:cs="Times New Roman" w:eastAsia="Times New Roman" w:hAnsi="Times New Roman"/>
          <w:b/>
          <w:bCs/>
          <w:sz w:val="22"/>
          <w:szCs w:val="22"/>
        </w:rPr>
        <w:t xml:space="preserve">Table 3.  Risk ratios and hazard ratios for C2x versus C1x at 5-year follow-up. * p &lt; 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900"/>
        <w:gridCol w:w="1760"/>
        <w:gridCol w:w="900"/>
        <w:gridCol w:w="1500"/>
      </w:tblGrid>
      <w:tr>
        <w:tc>
          <w:tcPr>
            <w:tcW w:type="dxa" w:w="2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Outcome</w:t>
            </w:r>
          </w:p>
        </w:tc>
        <w:tc>
          <w:tcPr>
            <w:tcW w:type="dxa" w:w="11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C2x (%)</w:t>
            </w:r>
          </w:p>
        </w:tc>
        <w:tc>
          <w:tcPr>
            <w:tcW w:type="dxa" w:w="11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C1x (%)</w:t>
            </w:r>
          </w:p>
        </w:tc>
        <w:tc>
          <w:tcPr>
            <w:tcW w:type="dxa" w:w="9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RR</w:t>
            </w:r>
          </w:p>
        </w:tc>
        <w:tc>
          <w:tcPr>
            <w:tcW w:type="dxa" w:w="176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95% CI</w:t>
            </w:r>
          </w:p>
        </w:tc>
        <w:tc>
          <w:tcPr>
            <w:tcW w:type="dxa" w:w="9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HR</w:t>
            </w:r>
          </w:p>
        </w:tc>
        <w:tc>
          <w:tcPr>
            <w:tcW w:type="dxa" w:w="15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95% CI</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Gen SUD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6.02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7.00</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0.860*</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(0.805, 0.918)</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0.898*</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(0.839, 0.961)</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Alcohol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1.10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1.17</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0.940</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(0.799, 1.105)</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0.988</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(0.839, 1.163)</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Cannabis</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2.79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2.93</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0.951</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(0.859, 1.052)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0.997</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(0.900, 1.105)</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Opioid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0.24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0.31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0.763</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(0.547, 1.063)</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0.803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(0.575, 1.120)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Mood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16.30</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15.19</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1.073*</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(1.030, 1.117)</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1.127*</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(1.079, 1.177)</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Anxiety</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24.28</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21.91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1.108*</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(1.073, 1.144)</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1.177*</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(1.135, 1.220)</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ADHD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12.45</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11.42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1.090*</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(1.040, 1.142)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1.133*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(1.077, 1.191)</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Psychosis</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0.31</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0.41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0.769</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(0.575, 1.029)</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0.804</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(0.601, 1.076)</w:t>
            </w:r>
          </w:p>
        </w:tc>
      </w:tr>
    </w:tbl>
    <w:p>
      <w:pPr>
        <w:pageBreakBefore/>
      </w:pPr>
      <w:r>
        <w:t xml:space="preserve"/>
      </w:r>
    </w:p>
    <w:p>
      <w:pPr>
        <w:spacing w:line="480" w:lineRule="auto"/>
        <w:jc w:val="left"/>
      </w:pPr>
      <w:r>
        <w:rPr>
          <w:rFonts w:ascii="Times New Roman" w:cs="Times New Roman" w:eastAsia="Times New Roman" w:hAnsi="Times New Roman"/>
          <w:b/>
          <w:bCs/>
          <w:sz w:val="22"/>
          <w:szCs w:val="22"/>
        </w:rPr>
        <w:t xml:space="preserve">Table 4.  Risk ratios and hazard ratios for C3x versus C2x at 5-year follow-up. * p &lt; 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900"/>
        <w:gridCol w:w="1760"/>
        <w:gridCol w:w="900"/>
        <w:gridCol w:w="1500"/>
      </w:tblGrid>
      <w:tr>
        <w:tc>
          <w:tcPr>
            <w:tcW w:type="dxa" w:w="20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Outcome</w:t>
            </w:r>
          </w:p>
        </w:tc>
        <w:tc>
          <w:tcPr>
            <w:tcW w:type="dxa" w:w="11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C3x (%)</w:t>
            </w:r>
          </w:p>
        </w:tc>
        <w:tc>
          <w:tcPr>
            <w:tcW w:type="dxa" w:w="11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C2x (%)</w:t>
            </w:r>
          </w:p>
        </w:tc>
        <w:tc>
          <w:tcPr>
            <w:tcW w:type="dxa" w:w="9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RR</w:t>
            </w:r>
          </w:p>
        </w:tc>
        <w:tc>
          <w:tcPr>
            <w:tcW w:type="dxa" w:w="176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95% CI</w:t>
            </w:r>
          </w:p>
        </w:tc>
        <w:tc>
          <w:tcPr>
            <w:tcW w:type="dxa" w:w="9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HR</w:t>
            </w:r>
          </w:p>
        </w:tc>
        <w:tc>
          <w:tcPr>
            <w:tcW w:type="dxa" w:w="1500"/>
            <w:tcBorders>
              <w:top w:val="single" w:color="999999" w:sz="1"/>
              <w:left w:val="single" w:color="999999" w:sz="1"/>
              <w:bottom w:val="single" w:color="999999" w:sz="1"/>
              <w:right w:val="single" w:color="999999" w:sz="1"/>
            </w:tcBorders>
            <w:shd w:fill="D9D9D9" w:val="clear"/>
            <w:tcMar>
              <w:top w:type="dxa" w:w="80"/>
              <w:left w:type="dxa" w:w="120"/>
              <w:bottom w:type="dxa" w:w="80"/>
              <w:right w:type="dxa" w:w="120"/>
            </w:tcMar>
          </w:tcPr>
          <w:p>
            <w:pPr>
              <w:spacing w:line="480" w:lineRule="auto"/>
            </w:pPr>
            <w:r>
              <w:rPr>
                <w:rFonts w:ascii="Times New Roman" w:cs="Times New Roman" w:eastAsia="Times New Roman" w:hAnsi="Times New Roman"/>
                <w:b/>
                <w:bCs/>
                <w:sz w:val="22"/>
                <w:szCs w:val="22"/>
              </w:rPr>
              <w:t xml:space="preserve">95% CI</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Gen SUD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6.72</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6.82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0.985</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(0.893, 1.087)</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1.017</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(0.919, 1.127)</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Alcohol</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1.33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1.12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1.187</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(0.935, 1.507)</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1.229</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(0.967, 1.562)</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Cannabis</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3.23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3.05</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1.057</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(0.912, 1.225)</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1.093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(0.941, 1.269)</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Opioid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0.31</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0.31</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1.000</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(0.622, 1.607)</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1.030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(0.640, 1.657)</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Mood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18.29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18.05</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1.014</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(0.958, 1.072)</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1.041</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(0.978, 1.107)</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Anxiety</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27.04</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25.80</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1.048*</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(1.003, 1.096)</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1.083*</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(1.029, 1.141)</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ADHD</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12.99</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12.63</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1.029</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(0.960, 1.103)</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1.050</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(0.975, 1.131)</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Psychosis†</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0.33</w:t>
            </w:r>
          </w:p>
        </w:tc>
        <w:tc>
          <w:tcPr>
            <w:tcW w:type="dxa" w:w="11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0.18</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1.800*</w:t>
            </w:r>
          </w:p>
        </w:tc>
        <w:tc>
          <w:tcPr>
            <w:tcW w:type="dxa" w:w="17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(1.043, 3.107)</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1.846*</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line="480" w:lineRule="auto"/>
            </w:pPr>
            <w:r>
              <w:rPr>
                <w:rFonts w:ascii="Times New Roman" w:cs="Times New Roman" w:eastAsia="Times New Roman" w:hAnsi="Times New Roman"/>
                <w:b w:val="false"/>
                <w:bCs w:val="false"/>
                <w:sz w:val="22"/>
                <w:szCs w:val="22"/>
              </w:rPr>
              <w:t xml:space="preserve">(1.069, 3.190)</w:t>
            </w:r>
          </w:p>
        </w:tc>
      </w:tr>
    </w:tbl>
    <w:p>
      <w:pPr>
        <w:spacing w:line="480" w:lineRule="auto"/>
      </w:pPr>
      <w:r>
        <w:rPr>
          <w:rFonts w:ascii="Times New Roman" w:cs="Times New Roman" w:eastAsia="Times New Roman" w:hAnsi="Times New Roman"/>
          <w:sz w:val="22"/>
          <w:szCs w:val="22"/>
        </w:rPr>
        <w:t xml:space="preserve">Psychosis result based on event rates &lt;0.5%; interpret with caution.</w:t>
      </w:r>
    </w:p>
    <w:p>
      <w:pPr>
        <w:pageBreakBefore/>
      </w:pPr>
      <w:r>
        <w:t xml:space="preserve"/>
      </w:r>
    </w:p>
    <w:p>
      <w:pPr>
        <w:spacing w:line="480" w:lineRule="auto" w:before="240" w:after="240"/>
        <w:jc w:val="left"/>
      </w:pPr>
      <w:r>
        <w:rPr>
          <w:rFonts w:ascii="Times New Roman" w:cs="Times New Roman" w:eastAsia="Times New Roman" w:hAnsi="Times New Roman"/>
          <w:b/>
          <w:bCs/>
          <w:sz w:val="24"/>
          <w:szCs w:val="24"/>
          <w:u w:val="single"/>
        </w:rPr>
        <w:t xml:space="preserve">DISCUSSION</w:t>
      </w:r>
    </w:p>
    <w:p>
      <w:pPr>
        <w:spacing w:line="480" w:lineRule="auto"/>
        <w:jc w:val="both"/>
      </w:pPr>
      <w:r>
        <w:t xml:space="preserve">This study reveals a striking and consistent pattern across three matched cohort comparisons: the first childhood concussion is the critical event that establishes long-term psychiatric and substance use risk, while subsequent concussions confer substantially diminished additional risk. Using an active orthopedic injury comparator to minimize ascertainment bias, we found that a single childhood concussion nearly doubles the 5-year risk of mood disorders, anxiety, ADHD, and cannabis-related disorders compared to children with comparable physical injuries. By contrast, a second concussion adds only modest incremental risk for mood and anxiety outcomes, and a third concussion adds no statistically significant risk for the vast majority of outcomes examined.</w:t>
      </w:r>
    </w:p>
    <w:p>
      <w:pPr>
        <w:spacing w:line="480" w:lineRule="auto"/>
      </w:pPr>
      <w:r>
        <w:t xml:space="preserve"/>
      </w:r>
    </w:p>
    <w:p>
      <w:pPr>
        <w:spacing w:line="480" w:lineRule="auto"/>
        <w:jc w:val="both"/>
      </w:pPr>
      <w:r>
        <w:t xml:space="preserve">The magnitude of risk elevation following the first concussion is striking. Risk ratios of approximately 2.0 for mood disorders, anxiety, and ADHD represent clinically meaningful elevations that exceed what has been reported in prior studies using general pediatric comparators. This discrepancy is attributable in part to our use of an active comparator: children who sustain orthopedic injuries are similarly active, have similar healthcare utilization patterns, and come from similar demographic backgrounds as children with concussions. This design minimizes the ascertainment bias inherent in comparing concussed children to the general pediatric population, where children seen specifically for behavioral and developmental concerns inflate baseline psychiatric diagnosis rates in the control arm. The use of an active comparator is considered best practice for this type of observational study [8] and strengthens confidence in our estimates.</w:t>
      </w:r>
    </w:p>
    <w:p>
      <w:pPr>
        <w:spacing w:line="480" w:lineRule="auto"/>
      </w:pPr>
      <w:r>
        <w:t xml:space="preserve"/>
      </w:r>
    </w:p>
    <w:p>
      <w:pPr>
        <w:spacing w:line="480" w:lineRule="auto"/>
        <w:jc w:val="both"/>
      </w:pPr>
      <w:r>
        <w:t xml:space="preserve">The neurobiological basis for the elevated psychiatric risk following a first concussion likely involves neuroinflammatory cascades, disruption of monoaminergic neurotransmitter systems, and structural changes to prefrontal-limbic circuitry occurring during a sensitive period of neurodevelopment [2, 17–19]. The near-doubling of ADHD risk is particularly noteworthy and aligns with emerging evidence that mild traumatic brain injury disrupts the fronto-striatal networks underlying attention regulation. The elevated anxiety risk (HR 2.02) and mood disorder risk (HR 1.93) suggest broad dysregulation of emotional processing circuits that persists well beyond the acute injury period.</w:t>
      </w:r>
    </w:p>
    <w:p>
      <w:pPr>
        <w:spacing w:line="480" w:lineRule="auto"/>
      </w:pPr>
      <w:r>
        <w:t xml:space="preserve"/>
      </w:r>
    </w:p>
    <w:p>
      <w:pPr>
        <w:spacing w:line="480" w:lineRule="auto"/>
        <w:jc w:val="both"/>
      </w:pPr>
      <w:r>
        <w:t xml:space="preserve">The comparison of two concussions to one revealed a dissociation between mood disorder outcomes and substance use outcomes. While mood disorders, anxiety, and ADHD showed modest but significant additional increases of 7–11%, generalized SUD was significantly lower in the two-concussion group. This counterintuitive finding may reflect behavioral changes following a second injury—including removal from contact sports, increased parental monitoring, and greater medical surveillance—that reduce exposure to substance use contexts. Regardless of mechanism, the absence of SUD dose-response argues against cumulative neurotoxicity as the primary driver of substance use risk in this population.</w:t>
      </w:r>
    </w:p>
    <w:p>
      <w:pPr>
        <w:spacing w:line="480" w:lineRule="auto"/>
      </w:pPr>
      <w:r>
        <w:t xml:space="preserve"/>
      </w:r>
    </w:p>
    <w:p>
      <w:pPr>
        <w:spacing w:line="480" w:lineRule="auto"/>
        <w:jc w:val="both"/>
      </w:pPr>
      <w:r>
        <w:t xml:space="preserve">The comparison of three concussions to two was largely null, with only borderline anxiety elevation (RR 1.048) and a statistically significant but clinically uncertain psychosis result based on very low event rates. Taken together, the three comparisons support a threshold model of concussion-associated psychiatric risk, in which the initial neurological insult establishes a lasting risk elevation that is not substantially augmented by subsequent injuries.</w:t>
      </w:r>
    </w:p>
    <w:p>
      <w:pPr>
        <w:spacing w:line="480" w:lineRule="auto"/>
      </w:pPr>
      <w:r>
        <w:t xml:space="preserve"/>
      </w:r>
    </w:p>
    <w:p>
      <w:pPr>
        <w:spacing w:line="480" w:lineRule="auto"/>
        <w:jc w:val="both"/>
      </w:pPr>
      <w:r>
        <w:t xml:space="preserve">These findings have direct clinical implications. The current CDC HEADS UP guidelines for pediatric concussion focus primarily on acute symptom management, with follow-up over days to weeks [20]. Our data demonstrate that psychiatric sequelae—including mood disorders, anxiety, ADHD, and cannabis use disorder—emerge and persist over at least 5 years following a single concussion. Critically, this risk is established after the first injury, not reserved for patients with repeated concussions. Waiting for a second or third injury to initiate psychiatric surveillance misses the window of greatest risk elevation.</w:t>
      </w:r>
    </w:p>
    <w:p>
      <w:pPr>
        <w:spacing w:line="480" w:lineRule="auto"/>
      </w:pPr>
      <w:r>
        <w:t xml:space="preserve"/>
      </w:r>
    </w:p>
    <w:p>
      <w:pPr>
        <w:spacing w:line="480" w:lineRule="auto"/>
        <w:jc w:val="both"/>
      </w:pPr>
      <w:r>
        <w:t xml:space="preserve">To address this gap, we propose the Holistic Evaluation of Anxiety, Depression, and Substance Use After Concussion in Youth (HEADWAY) protocol. HEADWAY introduces a structured framework for identifying psychiatric sequelae following concussion. The protocol includes baseline screening for depression (PHQ-9), anxiety (GAD-7), ADHD, and SUD at the time of the initial concussion evaluation, with comparison to pre-injury benchmarks when available. Biannual mental health and substance use screening is recommended thereafter for a minimum of 5 years. Given our finding that the first concussion is the critical risk-elevating event, HEADWAY screening should be initiated following any concussion, not reserved for recurrent injuries.</w:t>
      </w:r>
    </w:p>
    <w:p>
      <w:pPr>
        <w:spacing w:line="480" w:lineRule="auto"/>
      </w:pPr>
      <w:r>
        <w:t xml:space="preserve"/>
      </w:r>
    </w:p>
    <w:p>
      <w:pPr>
        <w:spacing w:line="480" w:lineRule="auto"/>
        <w:jc w:val="both"/>
      </w:pPr>
      <w:r>
        <w:t xml:space="preserve">Strengths of this study include large sample sizes across all three comparisons, an active orthopedic comparator design that strengthens causal inference, rigorous propensity-score matching on 15 variables, exclusion of pre-existing psychiatric diagnoses, and a novel stepwise design that isolates the marginal contribution of each additional concussion. The use of TriNetX provided access to real-world clinical data from over 100 healthcare organizations.</w:t>
      </w:r>
    </w:p>
    <w:p>
      <w:pPr>
        <w:spacing w:line="480" w:lineRule="auto"/>
      </w:pPr>
      <w:r>
        <w:t xml:space="preserve"/>
      </w:r>
    </w:p>
    <w:p>
      <w:pPr>
        <w:spacing w:line="480" w:lineRule="auto"/>
        <w:jc w:val="both"/>
      </w:pPr>
      <w:r>
        <w:t xml:space="preserve">Limitations include reliance on ICD-10 diagnostic codes, which may undercount both concussions and psychiatric outcomes. Only a minority of cases included mechanism of injury data, precluding stratification by concussion context or severity. Mental disorders due to known physiological conditions (F01–F09), which includes postconcussional syndrome, showed residual imbalance after matching. Time between concussions in the C2x and C3x cohorts was not controlled and may influence outcomes. The lower SUD risk observed in the C2x versus C1x comparison should be interpreted cautiously as it may reflect behavioral or surveillance differences rather than a true protective effect. Opioid-related disorder analyses were underpowered given low event rates. Future studies should stratify by concussion severity, mechanism of injury, inter-injury interval, and sex.</w:t>
      </w:r>
    </w:p>
    <w:p>
      <w:pPr>
        <w:spacing w:line="480" w:lineRule="auto"/>
      </w:pPr>
      <w:r>
        <w:t xml:space="preserve"/>
      </w:r>
    </w:p>
    <w:p>
      <w:pPr>
        <w:spacing w:line="480" w:lineRule="auto"/>
        <w:jc w:val="both"/>
      </w:pPr>
      <w:r>
        <w:t xml:space="preserve">In summary, childhood concussion is associated with a clinically significant and lasting increase in psychiatric and substance use risk that is established after the first injury and is not substantially amplified by subsequent injuries. These results argue for universal long-term psychiatric surveillance following any pediatric concussion, beginning at the time of the first injury.</w:t>
      </w:r>
    </w:p>
    <w:p>
      <w:pPr>
        <w:pageBreakBefore/>
      </w:pPr>
      <w:r>
        <w:t xml:space="preserve"/>
      </w:r>
    </w:p>
    <w:p>
      <w:pPr>
        <w:spacing w:line="480" w:lineRule="auto" w:before="240" w:after="240"/>
        <w:jc w:val="left"/>
      </w:pPr>
      <w:r>
        <w:rPr>
          <w:rFonts w:ascii="Times New Roman" w:cs="Times New Roman" w:eastAsia="Times New Roman" w:hAnsi="Times New Roman"/>
          <w:b/>
          <w:bCs/>
          <w:sz w:val="24"/>
          <w:szCs w:val="24"/>
          <w:u w:val="single"/>
        </w:rPr>
        <w:t xml:space="preserve">REFERENCES</w:t>
      </w:r>
    </w:p>
    <w:p>
      <w:pPr>
        <w:spacing w:line="480" w:lineRule="auto"/>
        <w:jc w:val="both"/>
      </w:pPr>
      <w:r>
        <w:t xml:space="preserve">1. Guskiewicz, K.M. and T.C. Valovich McLeod, Pediatric Sports-related Concussion. PM&amp;R, 2011. 3(4): p. 353-364.</w:t>
      </w:r>
    </w:p>
    <w:p>
      <w:pPr>
        <w:spacing w:line="480" w:lineRule="auto"/>
        <w:jc w:val="both"/>
      </w:pPr>
      <w:r>
        <w:t xml:space="preserve">2. Manley, G., et al., A systematic review of potential long-term effects of sport-related concussion. British Journal of Sports Medicine, 2017. 51(12): p. 969-977.</w:t>
      </w:r>
    </w:p>
    <w:p>
      <w:pPr>
        <w:spacing w:line="480" w:lineRule="auto"/>
        <w:jc w:val="both"/>
      </w:pPr>
      <w:r>
        <w:t xml:space="preserve">3. Decq, P., et al., Long-term consequences of recurrent sports concussion. Acta Neurochirurgica, 2016. 158(2): p. 289-300.</w:t>
      </w:r>
    </w:p>
    <w:p>
      <w:pPr>
        <w:spacing w:line="480" w:lineRule="auto"/>
        <w:jc w:val="both"/>
      </w:pPr>
      <w:r>
        <w:t xml:space="preserve">4. Doroszkiewicz, C., et al., Anxiety, Depression, and Quality of Life: A Long-Term Follow-Up Study of Patients with Persisting Concussion Symptoms. J Neurotrauma, 2021. 38(4): p. 493-505.</w:t>
      </w:r>
    </w:p>
    <w:p>
      <w:pPr>
        <w:spacing w:line="480" w:lineRule="auto"/>
        <w:jc w:val="both"/>
      </w:pPr>
      <w:r>
        <w:t xml:space="preserve">5. Halstead, M.E., et al., American Academy of Pediatrics. Clinical report--sport-related concussion in children and adolescents. Pediatrics, 2010. 126(3): p. 597-615.</w:t>
      </w:r>
    </w:p>
    <w:p>
      <w:pPr>
        <w:spacing w:line="480" w:lineRule="auto"/>
        <w:jc w:val="both"/>
      </w:pPr>
      <w:r>
        <w:t xml:space="preserve">6. Lumba-Brown, A., et al., Centers for Disease Control and Prevention Guideline on the Diagnosis and Management of Mild Traumatic Brain Injury Among Children. JAMA Pediatr, 2018. 172(11): p. e182853.</w:t>
      </w:r>
    </w:p>
    <w:p>
      <w:pPr>
        <w:spacing w:line="480" w:lineRule="auto"/>
        <w:jc w:val="both"/>
      </w:pPr>
      <w:r>
        <w:t xml:space="preserve">7. Weissman, B., et al., CDC's guideline on pediatric mild traumatic brain injury: Recommendations for neurologists. Neurol Clin Pract, 2019. 9(3): p. 241-249.</w:t>
      </w:r>
    </w:p>
    <w:p>
      <w:pPr>
        <w:spacing w:line="480" w:lineRule="auto"/>
        <w:jc w:val="both"/>
      </w:pPr>
      <w:r>
        <w:t xml:space="preserve">8. Rice, S.M., et al., Sport-related concussion and mental health outcomes in elite athletes: a systematic review. Sports medicine, 2018. 48: p. 447-465.</w:t>
      </w:r>
    </w:p>
    <w:p>
      <w:pPr>
        <w:spacing w:line="480" w:lineRule="auto"/>
        <w:jc w:val="both"/>
      </w:pPr>
      <w:r>
        <w:t xml:space="preserve">9. Kerr, Z.Y., et al., Association between concussion and mental health in former collegiate athletes. Injury epidemiology, 2014. 1: p. 1-10.</w:t>
      </w:r>
    </w:p>
    <w:p>
      <w:pPr>
        <w:spacing w:line="480" w:lineRule="auto"/>
        <w:jc w:val="both"/>
      </w:pPr>
      <w:r>
        <w:t xml:space="preserve">10. Eagle, S.R., A.P. Kontos, and C. Connaboy, Association of impulsivity, physical development, and mental health to perceptual-motor control after concussion in adolescents. Eur J Sport Sci, 2022. 22(12): p. 1889-1897.</w:t>
      </w:r>
    </w:p>
    <w:p>
      <w:pPr>
        <w:spacing w:line="480" w:lineRule="auto"/>
        <w:jc w:val="both"/>
      </w:pPr>
      <w:r>
        <w:t xml:space="preserve">11. Gornall, A., et al., Psychological Predictors of Mental Health Difficulties After Pediatric Concussion. J Neurotrauma, 2024. 41(13-14): p. e1639-e1648.</w:t>
      </w:r>
    </w:p>
    <w:p>
      <w:pPr>
        <w:spacing w:line="480" w:lineRule="auto"/>
        <w:jc w:val="both"/>
      </w:pPr>
      <w:r>
        <w:t xml:space="preserve">12. Ledoux, A.A., et al., Risk of Mental Health Problems in Children and Youths Following Concussion. JAMA Netw Open, 2022. 5(3): p. e221235.</w:t>
      </w:r>
    </w:p>
    <w:p>
      <w:pPr>
        <w:spacing w:line="480" w:lineRule="auto"/>
        <w:jc w:val="both"/>
      </w:pPr>
      <w:r>
        <w:t xml:space="preserve">13. Russell, K., et al., Incidence of Subsequent Mental Health Disorders and Social Adversity Following Pediatric Concussion: A Longitudinal, Population-Based Study. J Pediatr, 2023. 259: p. 113436.</w:t>
      </w:r>
    </w:p>
    <w:p>
      <w:pPr>
        <w:spacing w:line="480" w:lineRule="auto"/>
        <w:jc w:val="both"/>
      </w:pPr>
      <w:r>
        <w:t xml:space="preserve">14. Yang, M.N., et al., Adolescent Concussion and Mental Health Outcomes: A Population-based Study. Am J Health Behav, 2019. 43(2): p. 258-265.</w:t>
      </w:r>
    </w:p>
    <w:p>
      <w:pPr>
        <w:spacing w:line="480" w:lineRule="auto"/>
        <w:jc w:val="both"/>
      </w:pPr>
      <w:r>
        <w:t xml:space="preserve">15. Gornall, A., et al., Mental health after paediatric concussion: a systematic review and meta-analysis. British journal of sports medicine, 2021. 55(18): p. 1048-1058.</w:t>
      </w:r>
    </w:p>
    <w:p>
      <w:pPr>
        <w:spacing w:line="480" w:lineRule="auto"/>
        <w:jc w:val="both"/>
      </w:pPr>
      <w:r>
        <w:t xml:space="preserve">16. Ludwig, R.J., et al., A comprehensive review of methodologies and application to use the real-world data and analytics platform TriNetX. Frontiers in pharmacology, 2025. 16: p. 1516126.</w:t>
      </w:r>
    </w:p>
    <w:p>
      <w:pPr>
        <w:spacing w:line="480" w:lineRule="auto"/>
        <w:jc w:val="both"/>
      </w:pPr>
      <w:r>
        <w:t xml:space="preserve">17. Emery, C.A., et al., A Systematic Review of Psychiatric, Psychological, and Behavioural Outcomes following Mild Traumatic Brain Injury in Children and Adolescents. The Canadian Journal of Psychiatry, 2016. 61(5): p. 259-269.</w:t>
      </w:r>
    </w:p>
    <w:p>
      <w:pPr>
        <w:spacing w:line="480" w:lineRule="auto"/>
        <w:jc w:val="both"/>
      </w:pPr>
      <w:r>
        <w:t xml:space="preserve">18. Huw Williams, W., et al., Self-reported traumatic brain injury in male young offenders: a risk factor for re-offending, poor mental health and violence? Neuropsychological rehabilitation, 2010. 20(6): p. 801-812.</w:t>
      </w:r>
    </w:p>
    <w:p>
      <w:pPr>
        <w:spacing w:line="480" w:lineRule="auto"/>
        <w:jc w:val="both"/>
      </w:pPr>
      <w:r>
        <w:t xml:space="preserve">19. Max, J.E., et al., Psychiatric disorders in children and adolescents after severe traumatic brain injury: a controlled study. Journal of the American Academy of Child &amp; Adolescent Psychiatry, 1998. 37(8): p. 832-840.</w:t>
      </w:r>
    </w:p>
    <w:p>
      <w:pPr>
        <w:spacing w:line="480" w:lineRule="auto"/>
        <w:jc w:val="both"/>
      </w:pPr>
      <w:r>
        <w:t xml:space="preserve">20. CDC HEADS UP. Centers for Disease Control and Prevention Guideline on Pediatric Concussion. Accessed 2025.</w:t>
      </w:r>
    </w:p>
    <w:p>
      <w:pPr>
        <w:spacing w:line="480" w:lineRule="auto"/>
        <w:jc w:val="both"/>
      </w:pPr>
      <w:r>
        <w:t xml:space="preserve">21. Baugh, C.M., et al., Touchdowns and trouble: The relationship between concussion and opioid misuse. Concussion, 2017. 2(1): p. CNC31.</w:t>
      </w:r>
    </w:p>
    <w:p>
      <w:pPr>
        <w:spacing w:line="480" w:lineRule="auto"/>
        <w:jc w:val="both"/>
      </w:pPr>
      <w:r>
        <w:t xml:space="preserve">22. Iverson, G.L., et al., Predictors of clinical recovery from concussion: a systematic review. British Journal of Sports Medicine, 2017. 51(12): p. 941-948.</w:t>
      </w:r>
    </w:p>
    <w:p>
      <w:pPr>
        <w:spacing w:line="480" w:lineRule="auto"/>
        <w:jc w:val="both"/>
      </w:pPr>
      <w:r>
        <w:t xml:space="preserve">23. Theadom, A., et al., The experience of fatigue following traumatic brain injury: a qualitative study. Brain Injury, 2016. 30(13-14): p. 1553-1563.</w:t>
      </w:r>
    </w:p>
    <w:p>
      <w:pPr>
        <w:spacing w:line="480" w:lineRule="auto"/>
        <w:jc w:val="both"/>
      </w:pPr>
      <w:r>
        <w:t xml:space="preserve">24. Kerr, Z.Y., et al., Concussion-Related Protocols and Preparticipation Assessments Used for Sport-Related Concussion at the Collegiate Level. J Athl Train, 2015. 50(10): p. 1081-1090.</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480" w:lineRule="auto"/>
      <w:jc w:val="center"/>
    </w:pPr>
    <w:r>
      <w:rPr>
        <w:rFonts w:ascii="Times New Roman" w:cs="Times New Roman" w:eastAsia="Times New Roman" w:hAnsi="Times New Roman"/>
        <w:sz w:val="22"/>
        <w:szCs w:val="22"/>
      </w:rPr>
      <w:t xml:space="preserve">CURRENT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2026-03-11T17:47:54.718Z</dcterms:created>
  <dcterms:modified xsi:type="dcterms:W3CDTF">2026-03-11T17:47:54.718Z</dcterms:modified>
</cp:coreProperties>
</file>

<file path=docProps/custom.xml><?xml version="1.0" encoding="utf-8"?>
<Properties xmlns="http://schemas.openxmlformats.org/officeDocument/2006/custom-properties" xmlns:vt="http://schemas.openxmlformats.org/officeDocument/2006/docPropsVTypes"/>
</file>