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/>
          <w:b/>
          <w:sz w:val="22"/>
        </w:rPr>
        <w:t xml:space="preserve">Table S1A. </w:t>
      </w:r>
      <w:r>
        <w:rPr>
          <w:rFonts w:ascii="Times New Roman" w:hAnsi="Times New Roman"/>
          <w:b w:val="0"/>
          <w:sz w:val="22"/>
        </w:rPr>
        <w:t>Baseline characteristics of kidney transplant recipients for each statin compared with no-statin controls, before propensity-score matching (TriNetX US Collaborative Network).</w:t>
      </w:r>
    </w:p>
    <w:tbl>
      <w:tblPr>
        <w:tblW w:type="dxa" w:w="141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1000"/>
        <w:gridCol w:w="1000"/>
        <w:gridCol w:w="800"/>
        <w:gridCol w:w="1000"/>
        <w:gridCol w:w="1000"/>
        <w:gridCol w:w="800"/>
        <w:gridCol w:w="1000"/>
        <w:gridCol w:w="1000"/>
        <w:gridCol w:w="800"/>
        <w:gridCol w:w="1000"/>
        <w:gridCol w:w="1000"/>
        <w:gridCol w:w="800"/>
      </w:tblGrid>
      <w:tr>
        <w:trPr>
          <w:tblHeader w:val="true"/>
        </w:trPr>
        <w:tc>
          <w:tcPr>
            <w:tcW w:type="dxa" w:w="2900"/>
            <w:vAlign w:val="center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Atorvastatin vs no statin</w:t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Rosuvastatin vs no statin</w:t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Simvastatin vs no statin</w:t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Pravastatin vs no statin</w:t>
            </w:r>
          </w:p>
        </w:tc>
      </w:tr>
      <w:tr>
        <w:trPr>
          <w:tblHeader w:val="true"/>
        </w:trP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Characteristic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Atorvastatin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Rosuvastatin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Simvastatin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Pravastatin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</w:tr>
      <w:tr>
        <w:trPr>
          <w:tblHeader w:val="true"/>
        </w:trPr>
        <w:tc>
          <w:tcPr>
            <w:tcW w:type="dxa" w:w="29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6,452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16,145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1,091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16,502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543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16,500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1,100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16,500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Demographics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Age at index, years, mean ± SD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57.1 ± 12.0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42.3 ± 18.1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0.97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58.8 ± 11.7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42.4 ± 18.1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1.08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55.7 ± 13.4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42.4 ± 18.1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0.84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52.1 ± 14.5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42.4 ± 18.1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0.59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Male, %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65.7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Female, %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33.7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34.3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40.7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42.8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Diagnoses, %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Genitourinary diseases (N00–N99)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97.1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Hypertensive diseases (I10–I1A)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86.6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86.7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86.7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86.7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0.27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Essential hypertension (I10)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71.0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63.5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0.19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Diabetes mellitus (E08–E13)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38.2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0.28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Ischemic heart diseases (I20–I25)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41.3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0.28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Other nervous system disorders (G89–G99)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0.25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Heart failure (I50)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0.07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Neoplasms (C00–D49)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0.15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Kidney transplant failure (T86.12)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Diseases of liver (K70–K77)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Kidney transplant rejection (T86.11)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Tobacco use (Z72.0)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Medications, %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Immunological agents (IM000)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95.4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84.9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95.6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85.1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0.42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Beta-blocking agents (C07)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70.2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0.16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Aspirin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0.40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Renin–angiotensin agents (C09)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24.8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Laboratory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Total cholesterol recorded, %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38.8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0.29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Total cholesterol, mg/dL, mean ± SDᵃ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146.6 ± 44.6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164.8 ± 47.9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152.6 ± 57.6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165.0 ± 47.7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149.8 ± 45.3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165.0 ± 47.7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0.33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161.5 ± 47.6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165.0 ± 47.7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0.07</w:t>
            </w:r>
          </w:p>
        </w:tc>
      </w:tr>
      <w:tr>
        <w:tc>
          <w:tcPr>
            <w:tcW w:type="dxa" w:w="29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</w:tbl>
    <w:p>
      <w:pPr>
        <w:spacing w:before="80" w:after="0"/>
      </w:pPr>
      <w:r>
        <w:rPr>
          <w:rFonts w:ascii="Times New Roman" w:hAnsi="Times New Roman"/>
          <w:b w:val="0"/>
          <w:sz w:val="15"/>
        </w:rPr>
        <w:t>Values are % of cohort unless otherwise indicated; cohort sizes are given in the column headers. Each statin cohort was compared with a separately propensity-matched (1:1) no-statin control cohort. SMD, absolute standardized mean difference; bold indicates post-matching SMD ≥ 0.10. Diagnoses are ICD-10-CM codes; medications are ATC classes except aspirin (RxNorm). ᵃAmong patients with a recorded value; mean cholesterol remained lower in statin users after matching. BMI percentile (recorded in ≤ 211 patients per cohort) and unknown sex (≤ 10 patients) are not shown.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/>
          <w:b/>
          <w:sz w:val="22"/>
        </w:rPr>
        <w:t xml:space="preserve">Table S1B. </w:t>
      </w:r>
      <w:r>
        <w:rPr>
          <w:rFonts w:ascii="Times New Roman" w:hAnsi="Times New Roman"/>
          <w:b w:val="0"/>
          <w:sz w:val="22"/>
        </w:rPr>
        <w:t>Baseline characteristics of kidney transplant recipients for each statin compared with no-statin controls, after 1:1 propensity-score matching (TriNetX US Collaborative Network).</w:t>
      </w:r>
    </w:p>
    <w:tbl>
      <w:tblPr>
        <w:tblW w:type="dxa" w:w="1410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00"/>
        <w:gridCol w:w="1000"/>
        <w:gridCol w:w="1000"/>
        <w:gridCol w:w="800"/>
        <w:gridCol w:w="1000"/>
        <w:gridCol w:w="1000"/>
        <w:gridCol w:w="800"/>
        <w:gridCol w:w="1000"/>
        <w:gridCol w:w="1000"/>
        <w:gridCol w:w="800"/>
        <w:gridCol w:w="1000"/>
        <w:gridCol w:w="1000"/>
        <w:gridCol w:w="800"/>
      </w:tblGrid>
      <w:tr>
        <w:trPr>
          <w:tblHeader w:val="true"/>
        </w:trPr>
        <w:tc>
          <w:tcPr>
            <w:tcW w:type="dxa" w:w="2900"/>
            <w:vAlign w:val="center"/>
            <w:tcBorders>
              <w:top w:val="single" w:sz="12" w:color="000000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Atorvastatin vs no statin</w:t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Rosuvastatin vs no statin</w:t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Simvastatin vs no statin</w:t>
            </w:r>
          </w:p>
        </w:tc>
        <w:tc>
          <w:tcPr>
            <w:tcW w:type="dxa" w:w="2800"/>
            <w:gridSpan w:val="3"/>
            <w:vAlign w:val="center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Pravastatin vs no statin</w:t>
            </w:r>
          </w:p>
        </w:tc>
      </w:tr>
      <w:tr>
        <w:trPr>
          <w:tblHeader w:val="true"/>
        </w:trP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Characteristic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Atorvastatin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Rosuvastatin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Simvastatin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Pravastatin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 statin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SMD</w:t>
            </w:r>
          </w:p>
        </w:tc>
      </w:tr>
      <w:tr>
        <w:trPr>
          <w:tblHeader w:val="true"/>
        </w:trPr>
        <w:tc>
          <w:tcPr>
            <w:tcW w:type="dxa" w:w="29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4,747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4,747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1,062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1,062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538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538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1,099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  <w:t>n = 1,099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/>
                <w:sz w:val="16"/>
              </w:rPr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Demographics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Age at index, years, mean ± SD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54.9 ± 12.2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55.3 ± 13.3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58.5 ± 11.7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59.0 ± 12.1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55.6 ± 13.4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55.1 ± 13.9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52.1 ± 14.5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51.7 ± 14.8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Male, %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62.5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62.4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65.6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Female, %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34.4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40.8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Diagnoses, %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Genitourinary diseases (N00–N99)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97.0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98.0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99.7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Hypertensive diseases (I10–I1A)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95.1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97.0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0.11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95.4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Essential hypertension (I10)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63.8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0.10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68.3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Diabetes mellitus (E08–E13)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50.1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59.6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38.1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Ischemic heart diseases (I20–I25)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30.5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20.1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Other nervous system disorders (G89–G99)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24.0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24.2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Heart failure (I50)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Neoplasms (C00–D49)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Kidney transplant failure (T86.12)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Diseases of liver (K70–K77)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Kidney transplant rejection (T86.11)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Tobacco use (Z72.0)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Medications, %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Immunological agents (IM000)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94.8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95.5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92.6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97.0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0.20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96.8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97.7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Beta-blocking agents (C07)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65.9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71.6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0.10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Aspirin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20.4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23.5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Renin–angiotensin agents (C09)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20.5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22.3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22.1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27.0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</w:tr>
      <w:tr>
        <w:tc>
          <w:tcPr>
            <w:tcW w:type="dxa" w:w="14100"/>
            <w:gridSpan w:val="13"/>
            <w:vAlign w:val="center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Laboratory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Total cholesterol recorded, %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37.2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39.9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34.8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0.03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26.5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23.8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0.06</w:t>
            </w:r>
          </w:p>
        </w:tc>
      </w:tr>
      <w:tr>
        <w:tc>
          <w:tcPr>
            <w:tcW w:type="dxa" w:w="2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 xml:space="preserve">  Total cholesterol, mg/dL, mean ± SDᵃ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149.0 ± 45.0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164.1 ± 49.0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0.32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152.2 ± 57.2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165.8 ± 54.7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0.24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149.8 ± 45.4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163.6 ± 42.9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0.31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161.5 ± 47.6</w:t>
            </w:r>
          </w:p>
        </w:tc>
        <w:tc>
          <w:tcPr>
            <w:tcW w:type="dxa" w:w="10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166.5 ± 48.4</w:t>
            </w:r>
          </w:p>
        </w:tc>
        <w:tc>
          <w:tcPr>
            <w:tcW w:type="dxa" w:w="8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0.10</w:t>
            </w:r>
          </w:p>
        </w:tc>
      </w:tr>
      <w:tr>
        <w:tc>
          <w:tcPr>
            <w:tcW w:type="dxa" w:w="29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Median follow-up, days</w:t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10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800"/>
            <w:vAlign w:val="center"/>
            <w:tcBorders>
              <w:top w:val="single" w:sz="6" w:color="000000"/>
              <w:left w:val="nil"/>
              <w:bottom w:val="single" w:sz="12" w:color="000000"/>
              <w:right w:val="nil"/>
            </w:tcBorders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</w:tbl>
    <w:p>
      <w:pPr>
        <w:spacing w:before="80" w:after="0"/>
      </w:pPr>
      <w:r>
        <w:rPr>
          <w:rFonts w:ascii="Times New Roman" w:hAnsi="Times New Roman"/>
          <w:b w:val="0"/>
          <w:sz w:val="15"/>
        </w:rPr>
        <w:t>Values are % of cohort unless otherwise indicated; cohort sizes are given in the column headers. Each statin cohort was compared with a separately propensity-matched (1:1) no-statin control cohort. SMD, absolute standardized mean difference; bold indicates post-matching SMD ≥ 0.10. Diagnoses are ICD-10-CM codes; medications are ATC classes except aspirin (RxNorm). ᵃAmong patients with a recorded value; mean cholesterol remained lower in statin users after matching. BMI percentile (recorded in ≤ 211 patients per cohort) and unknown sex (≤ 10 patients) are not shown.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