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0" w:before="600" w:lineRule="auto"/>
        <w:ind w:left="0" w:right="300" w:firstLine="0"/>
        <w:rPr>
          <w:color w:val="696969"/>
          <w:sz w:val="21"/>
          <w:szCs w:val="21"/>
        </w:rPr>
      </w:pPr>
      <w:r w:rsidDel="00000000" w:rsidR="00000000" w:rsidRPr="00000000">
        <w:rPr>
          <w:color w:val="696969"/>
          <w:sz w:val="21"/>
          <w:szCs w:val="21"/>
          <w:rtl w:val="0"/>
        </w:rPr>
        <w:t xml:space="preserve">According to the feedback we got from a Sternheimer reviewer, they would like to see more of a focus on the global/broader impact of our project. With this in mind, it makes sense to start with defining the significance that computer science knowledge/skills currently holds in our society, i.e. job/financial security. Then we can bring down the scope a little by presenting the stats of the gender gap in CS fields/jobs, like talking about what studies show about girls vs boys being interested in CS/programming. Let this lead into how currently implemented systems of CS education in primary/secondary education impacts the gender gap among school-aged kids. This can let us lead back up the scope we just navigated down, and when we reach the top again, we can conclude with the impact that our project/collaboration with CodeVA will have on this already moving system. Thoughts?</w:t>
      </w:r>
    </w:p>
    <w:p w:rsidR="00000000" w:rsidDel="00000000" w:rsidP="00000000" w:rsidRDefault="00000000" w:rsidRPr="00000000" w14:paraId="00000002">
      <w:pPr>
        <w:spacing w:after="600" w:before="600" w:lineRule="auto"/>
        <w:ind w:left="0" w:right="300" w:firstLine="0"/>
        <w:rPr>
          <w:color w:val="696969"/>
          <w:sz w:val="21"/>
          <w:szCs w:val="21"/>
        </w:rPr>
      </w:pPr>
      <w:r w:rsidDel="00000000" w:rsidR="00000000" w:rsidRPr="00000000">
        <w:rPr>
          <w:rtl w:val="0"/>
        </w:rPr>
      </w:r>
    </w:p>
    <w:p w:rsidR="00000000" w:rsidDel="00000000" w:rsidP="00000000" w:rsidRDefault="00000000" w:rsidRPr="00000000" w14:paraId="00000003">
      <w:pPr>
        <w:spacing w:after="600" w:before="600" w:lineRule="auto"/>
        <w:ind w:left="0" w:right="300" w:firstLine="0"/>
        <w:rPr>
          <w:color w:val="696969"/>
          <w:sz w:val="21"/>
          <w:szCs w:val="21"/>
        </w:rPr>
      </w:pPr>
      <w:r w:rsidDel="00000000" w:rsidR="00000000" w:rsidRPr="00000000">
        <w:rPr>
          <w:color w:val="696969"/>
          <w:sz w:val="21"/>
          <w:szCs w:val="21"/>
          <w:rtl w:val="0"/>
        </w:rPr>
        <w:t xml:space="preserve">K-12 Education</w:t>
      </w:r>
    </w:p>
    <w:p w:rsidR="00000000" w:rsidDel="00000000" w:rsidP="00000000" w:rsidRDefault="00000000" w:rsidRPr="00000000" w14:paraId="00000004">
      <w:pPr>
        <w:numPr>
          <w:ilvl w:val="0"/>
          <w:numId w:val="1"/>
        </w:numPr>
        <w:spacing w:after="0" w:afterAutospacing="0" w:before="600" w:lineRule="auto"/>
        <w:ind w:left="720" w:right="300" w:hanging="360"/>
      </w:pPr>
      <w:r w:rsidDel="00000000" w:rsidR="00000000" w:rsidRPr="00000000">
        <w:rPr>
          <w:color w:val="696969"/>
          <w:sz w:val="21"/>
          <w:szCs w:val="21"/>
          <w:rtl w:val="0"/>
        </w:rPr>
        <w:t xml:space="preserve">Access to computer science matters! </w:t>
      </w:r>
      <w:hyperlink r:id="rId6">
        <w:r w:rsidDel="00000000" w:rsidR="00000000" w:rsidRPr="00000000">
          <w:rPr>
            <w:color w:val="7665a0"/>
            <w:sz w:val="21"/>
            <w:szCs w:val="21"/>
            <w:rtl w:val="0"/>
          </w:rPr>
          <w:t xml:space="preserve">A longitudinal study described in this article</w:t>
        </w:r>
      </w:hyperlink>
      <w:r w:rsidDel="00000000" w:rsidR="00000000" w:rsidRPr="00000000">
        <w:rPr>
          <w:color w:val="696969"/>
          <w:sz w:val="21"/>
          <w:szCs w:val="21"/>
          <w:rtl w:val="0"/>
        </w:rPr>
        <w:t xml:space="preserve"> and </w:t>
      </w:r>
      <w:hyperlink r:id="rId7">
        <w:r w:rsidDel="00000000" w:rsidR="00000000" w:rsidRPr="00000000">
          <w:rPr>
            <w:color w:val="7665a0"/>
            <w:sz w:val="21"/>
            <w:szCs w:val="21"/>
            <w:rtl w:val="0"/>
          </w:rPr>
          <w:t xml:space="preserve">this summary</w:t>
        </w:r>
      </w:hyperlink>
      <w:r w:rsidDel="00000000" w:rsidR="00000000" w:rsidRPr="00000000">
        <w:rPr>
          <w:color w:val="696969"/>
          <w:sz w:val="21"/>
          <w:szCs w:val="21"/>
          <w:rtl w:val="0"/>
        </w:rPr>
        <w:t xml:space="preserve"> report that the three best predictors of student persistence in computing-related majors were taking programming in high school, taking a computer science AP exam, and participating in the Aspirations awards program.</w:t>
      </w:r>
    </w:p>
    <w:p w:rsidR="00000000" w:rsidDel="00000000" w:rsidP="00000000" w:rsidRDefault="00000000" w:rsidRPr="00000000" w14:paraId="00000005">
      <w:pPr>
        <w:numPr>
          <w:ilvl w:val="0"/>
          <w:numId w:val="1"/>
        </w:numPr>
        <w:spacing w:after="0" w:afterAutospacing="0" w:before="0" w:beforeAutospacing="0" w:lineRule="auto"/>
        <w:ind w:left="720" w:right="300" w:hanging="360"/>
      </w:pPr>
      <w:r w:rsidDel="00000000" w:rsidR="00000000" w:rsidRPr="00000000">
        <w:rPr>
          <w:color w:val="696969"/>
          <w:sz w:val="21"/>
          <w:szCs w:val="21"/>
          <w:rtl w:val="0"/>
        </w:rPr>
        <w:t xml:space="preserve">74% of women working in computing were </w:t>
      </w:r>
      <w:hyperlink r:id="rId8">
        <w:r w:rsidDel="00000000" w:rsidR="00000000" w:rsidRPr="00000000">
          <w:rPr>
            <w:color w:val="7665a0"/>
            <w:sz w:val="21"/>
            <w:szCs w:val="21"/>
            <w:rtl w:val="0"/>
          </w:rPr>
          <w:t xml:space="preserve">exposed to computing in junior high</w:t>
        </w:r>
      </w:hyperlink>
      <w:r w:rsidDel="00000000" w:rsidR="00000000" w:rsidRPr="00000000">
        <w:rPr>
          <w:color w:val="696969"/>
          <w:sz w:val="21"/>
          <w:szCs w:val="21"/>
          <w:rtl w:val="0"/>
        </w:rPr>
        <w:t xml:space="preserve">.</w:t>
      </w:r>
    </w:p>
    <w:p w:rsidR="00000000" w:rsidDel="00000000" w:rsidP="00000000" w:rsidRDefault="00000000" w:rsidRPr="00000000" w14:paraId="00000006">
      <w:pPr>
        <w:numPr>
          <w:ilvl w:val="0"/>
          <w:numId w:val="1"/>
        </w:numPr>
        <w:spacing w:after="0" w:afterAutospacing="0" w:before="0" w:beforeAutospacing="0" w:lineRule="auto"/>
        <w:ind w:left="720" w:right="300" w:hanging="360"/>
      </w:pPr>
      <w:r w:rsidDel="00000000" w:rsidR="00000000" w:rsidRPr="00000000">
        <w:rPr>
          <w:color w:val="696969"/>
          <w:sz w:val="21"/>
          <w:szCs w:val="21"/>
          <w:rtl w:val="0"/>
        </w:rPr>
        <w:t xml:space="preserve">Girls are less likely to have learned computer science outside of school: 31% of girls who learned computer science did so online (vs. 44%) and 41% learned it on their own (vs 54% of boys). </w:t>
      </w:r>
      <w:hyperlink r:id="rId9">
        <w:r w:rsidDel="00000000" w:rsidR="00000000" w:rsidRPr="00000000">
          <w:rPr>
            <w:color w:val="7665a0"/>
            <w:sz w:val="21"/>
            <w:szCs w:val="21"/>
            <w:rtl w:val="0"/>
          </w:rPr>
          <w:t xml:space="preserve">Computer Science Learning: Closing the Gap - Girls</w:t>
        </w:r>
      </w:hyperlink>
      <w:r w:rsidDel="00000000" w:rsidR="00000000" w:rsidRPr="00000000">
        <w:rPr>
          <w:rtl w:val="0"/>
        </w:rPr>
      </w:r>
    </w:p>
    <w:p w:rsidR="00000000" w:rsidDel="00000000" w:rsidP="00000000" w:rsidRDefault="00000000" w:rsidRPr="00000000" w14:paraId="00000007">
      <w:pPr>
        <w:numPr>
          <w:ilvl w:val="0"/>
          <w:numId w:val="1"/>
        </w:numPr>
        <w:spacing w:after="320" w:before="0" w:beforeAutospacing="0" w:lineRule="auto"/>
        <w:ind w:left="720" w:right="300" w:hanging="360"/>
      </w:pPr>
      <w:r w:rsidDel="00000000" w:rsidR="00000000" w:rsidRPr="00000000">
        <w:rPr>
          <w:color w:val="696969"/>
          <w:sz w:val="21"/>
          <w:szCs w:val="21"/>
          <w:rtl w:val="0"/>
        </w:rPr>
        <w:t xml:space="preserve">Only 40% of schools across the country in 2016 offer a computer science class that includes coding or programming. Schools report a lack of qualified teachers and funds as key barriers to offering computer science. </w:t>
      </w:r>
      <w:hyperlink r:id="rId10">
        <w:r w:rsidDel="00000000" w:rsidR="00000000" w:rsidRPr="00000000">
          <w:rPr>
            <w:color w:val="7665a0"/>
            <w:sz w:val="21"/>
            <w:szCs w:val="21"/>
            <w:rtl w:val="0"/>
          </w:rPr>
          <w:t xml:space="preserve">Trends in the State of Computer Science in US K-12 Schools</w:t>
        </w:r>
      </w:hyperlink>
      <w:r w:rsidDel="00000000" w:rsidR="00000000" w:rsidRPr="00000000">
        <w:rPr>
          <w:color w:val="696969"/>
          <w:sz w:val="21"/>
          <w:szCs w:val="21"/>
          <w:highlight w:val="white"/>
          <w:rtl w:val="0"/>
        </w:rPr>
        <w:t xml:space="preserve"> (Year 2)</w:t>
      </w:r>
      <w:r w:rsidDel="00000000" w:rsidR="00000000" w:rsidRPr="00000000">
        <w:rPr>
          <w:rtl w:val="0"/>
        </w:rPr>
      </w:r>
    </w:p>
    <w:p w:rsidR="00000000" w:rsidDel="00000000" w:rsidP="00000000" w:rsidRDefault="00000000" w:rsidRPr="00000000" w14:paraId="00000008">
      <w:pPr>
        <w:spacing w:after="320" w:before="320" w:lineRule="auto"/>
        <w:ind w:right="300"/>
        <w:rPr>
          <w:color w:val="696969"/>
          <w:sz w:val="21"/>
          <w:szCs w:val="21"/>
        </w:rPr>
      </w:pPr>
      <w:r w:rsidDel="00000000" w:rsidR="00000000" w:rsidRPr="00000000">
        <w:rPr>
          <w:rtl w:val="0"/>
        </w:rPr>
      </w:r>
    </w:p>
    <w:p w:rsidR="00000000" w:rsidDel="00000000" w:rsidP="00000000" w:rsidRDefault="00000000" w:rsidRPr="00000000" w14:paraId="00000009">
      <w:pPr>
        <w:spacing w:after="320" w:before="320" w:lineRule="auto"/>
        <w:ind w:right="300"/>
        <w:rPr>
          <w:color w:val="696969"/>
          <w:sz w:val="21"/>
          <w:szCs w:val="21"/>
          <w:highlight w:val="white"/>
        </w:rPr>
      </w:pPr>
      <w:r w:rsidDel="00000000" w:rsidR="00000000" w:rsidRPr="00000000">
        <w:rPr>
          <w:color w:val="696969"/>
          <w:sz w:val="21"/>
          <w:szCs w:val="21"/>
          <w:highlight w:val="white"/>
          <w:rtl w:val="0"/>
        </w:rPr>
        <w:t xml:space="preserve">Computing skills across all jobs</w:t>
      </w:r>
    </w:p>
    <w:p w:rsidR="00000000" w:rsidDel="00000000" w:rsidP="00000000" w:rsidRDefault="00000000" w:rsidRPr="00000000" w14:paraId="0000000A">
      <w:pPr>
        <w:numPr>
          <w:ilvl w:val="0"/>
          <w:numId w:val="2"/>
        </w:numPr>
        <w:spacing w:after="0" w:afterAutospacing="0" w:before="600" w:lineRule="auto"/>
        <w:ind w:left="720" w:right="300" w:hanging="360"/>
        <w:rPr>
          <w:highlight w:val="white"/>
        </w:rPr>
      </w:pPr>
      <w:r w:rsidDel="00000000" w:rsidR="00000000" w:rsidRPr="00000000">
        <w:rPr>
          <w:color w:val="696969"/>
          <w:sz w:val="21"/>
          <w:szCs w:val="21"/>
          <w:highlight w:val="white"/>
          <w:rtl w:val="0"/>
        </w:rPr>
        <w:t xml:space="preserve">A quarter of all jobs are now "highly digitalized" and they're the highest paying quartile of jobs (up from 5% of jobs in 2002), according to a </w:t>
      </w:r>
      <w:hyperlink r:id="rId11">
        <w:r w:rsidDel="00000000" w:rsidR="00000000" w:rsidRPr="00000000">
          <w:rPr>
            <w:color w:val="7665a0"/>
            <w:sz w:val="21"/>
            <w:szCs w:val="21"/>
            <w:highlight w:val="white"/>
            <w:rtl w:val="0"/>
          </w:rPr>
          <w:t xml:space="preserve">Brookings report</w:t>
        </w:r>
      </w:hyperlink>
      <w:r w:rsidDel="00000000" w:rsidR="00000000" w:rsidRPr="00000000">
        <w:rPr>
          <w:rtl w:val="0"/>
        </w:rPr>
      </w:r>
    </w:p>
    <w:p w:rsidR="00000000" w:rsidDel="00000000" w:rsidP="00000000" w:rsidRDefault="00000000" w:rsidRPr="00000000" w14:paraId="0000000B">
      <w:pPr>
        <w:numPr>
          <w:ilvl w:val="0"/>
          <w:numId w:val="2"/>
        </w:numPr>
        <w:spacing w:after="0" w:afterAutospacing="0" w:before="0" w:beforeAutospacing="0" w:lineRule="auto"/>
        <w:ind w:left="720" w:right="300" w:hanging="360"/>
        <w:rPr>
          <w:highlight w:val="white"/>
        </w:rPr>
      </w:pPr>
      <w:r w:rsidDel="00000000" w:rsidR="00000000" w:rsidRPr="00000000">
        <w:rPr>
          <w:color w:val="696969"/>
          <w:sz w:val="21"/>
          <w:szCs w:val="21"/>
          <w:highlight w:val="white"/>
          <w:rtl w:val="0"/>
        </w:rPr>
        <w:t xml:space="preserve">Computer science skills are </w:t>
      </w:r>
      <w:hyperlink r:id="rId12">
        <w:r w:rsidDel="00000000" w:rsidR="00000000" w:rsidRPr="00000000">
          <w:rPr>
            <w:color w:val="7665a0"/>
            <w:sz w:val="21"/>
            <w:szCs w:val="21"/>
            <w:highlight w:val="white"/>
            <w:rtl w:val="0"/>
          </w:rPr>
          <w:t xml:space="preserve">increasingly valued</w:t>
        </w:r>
      </w:hyperlink>
      <w:r w:rsidDel="00000000" w:rsidR="00000000" w:rsidRPr="00000000">
        <w:rPr>
          <w:color w:val="696969"/>
          <w:sz w:val="21"/>
          <w:szCs w:val="21"/>
          <w:highlight w:val="white"/>
          <w:rtl w:val="0"/>
        </w:rPr>
        <w:t xml:space="preserve"> in marketing and design jobs.</w:t>
      </w:r>
    </w:p>
    <w:p w:rsidR="00000000" w:rsidDel="00000000" w:rsidP="00000000" w:rsidRDefault="00000000" w:rsidRPr="00000000" w14:paraId="0000000C">
      <w:pPr>
        <w:numPr>
          <w:ilvl w:val="0"/>
          <w:numId w:val="2"/>
        </w:numPr>
        <w:spacing w:after="600" w:before="0" w:beforeAutospacing="0" w:lineRule="auto"/>
        <w:ind w:left="720" w:right="300" w:hanging="360"/>
      </w:pPr>
      <w:hyperlink r:id="rId13">
        <w:r w:rsidDel="00000000" w:rsidR="00000000" w:rsidRPr="00000000">
          <w:rPr>
            <w:color w:val="7665a0"/>
            <w:sz w:val="21"/>
            <w:szCs w:val="21"/>
            <w:highlight w:val="white"/>
            <w:rtl w:val="0"/>
          </w:rPr>
          <w:t xml:space="preserve">Twice as many Americans</w:t>
        </w:r>
      </w:hyperlink>
      <w:r w:rsidDel="00000000" w:rsidR="00000000" w:rsidRPr="00000000">
        <w:rPr>
          <w:color w:val="696969"/>
          <w:sz w:val="21"/>
          <w:szCs w:val="21"/>
          <w:highlight w:val="white"/>
          <w:rtl w:val="0"/>
        </w:rPr>
        <w:t xml:space="preserve"> use computing in their jobs than previously reported, and half of those are in non-STEM fields. Outside of STEM fields, 40% of those doing complex computing work are women.</w:t>
      </w:r>
    </w:p>
    <w:p w:rsidR="00000000" w:rsidDel="00000000" w:rsidP="00000000" w:rsidRDefault="00000000" w:rsidRPr="00000000" w14:paraId="0000000D">
      <w:pPr>
        <w:spacing w:after="600" w:before="600" w:lineRule="auto"/>
        <w:ind w:left="720" w:right="300" w:firstLine="0"/>
        <w:rPr>
          <w:color w:val="696969"/>
          <w:sz w:val="21"/>
          <w:szCs w:val="21"/>
          <w:highlight w:val="white"/>
        </w:rPr>
      </w:pPr>
      <w:r w:rsidDel="00000000" w:rsidR="00000000" w:rsidRPr="00000000">
        <w:rPr>
          <w:rtl w:val="0"/>
        </w:rPr>
      </w:r>
    </w:p>
    <w:p w:rsidR="00000000" w:rsidDel="00000000" w:rsidP="00000000" w:rsidRDefault="00000000" w:rsidRPr="00000000" w14:paraId="0000000E">
      <w:pPr>
        <w:spacing w:after="600" w:before="600" w:lineRule="auto"/>
        <w:ind w:right="300"/>
        <w:rPr>
          <w:color w:val="696969"/>
          <w:sz w:val="21"/>
          <w:szCs w:val="21"/>
          <w:highlight w:val="white"/>
        </w:rPr>
      </w:pPr>
      <w:r w:rsidDel="00000000" w:rsidR="00000000" w:rsidRPr="00000000">
        <w:rPr>
          <w:color w:val="696969"/>
          <w:sz w:val="21"/>
          <w:szCs w:val="21"/>
          <w:highlight w:val="white"/>
          <w:rtl w:val="0"/>
        </w:rPr>
        <w:t xml:space="preserve">Jobs in computing</w:t>
      </w:r>
    </w:p>
    <w:p w:rsidR="00000000" w:rsidDel="00000000" w:rsidP="00000000" w:rsidRDefault="00000000" w:rsidRPr="00000000" w14:paraId="0000000F">
      <w:pPr>
        <w:numPr>
          <w:ilvl w:val="0"/>
          <w:numId w:val="2"/>
        </w:numPr>
        <w:spacing w:after="0" w:afterAutospacing="0" w:before="600" w:lineRule="auto"/>
        <w:ind w:left="720" w:right="300" w:hanging="360"/>
      </w:pPr>
      <w:hyperlink r:id="rId14">
        <w:r w:rsidDel="00000000" w:rsidR="00000000" w:rsidRPr="00000000">
          <w:rPr>
            <w:color w:val="7665a0"/>
            <w:sz w:val="21"/>
            <w:szCs w:val="21"/>
            <w:highlight w:val="white"/>
            <w:rtl w:val="0"/>
          </w:rPr>
          <w:t xml:space="preserve">Projections</w:t>
        </w:r>
      </w:hyperlink>
      <w:r w:rsidDel="00000000" w:rsidR="00000000" w:rsidRPr="00000000">
        <w:rPr>
          <w:color w:val="696969"/>
          <w:sz w:val="21"/>
          <w:szCs w:val="21"/>
          <w:highlight w:val="white"/>
          <w:rtl w:val="0"/>
        </w:rPr>
        <w:t xml:space="preserve"> for the graduating college class of 2018 shows that computer science is still one of the top-paying college degrees, coming in just under engineering.</w:t>
      </w:r>
    </w:p>
    <w:p w:rsidR="00000000" w:rsidDel="00000000" w:rsidP="00000000" w:rsidRDefault="00000000" w:rsidRPr="00000000" w14:paraId="00000010">
      <w:pPr>
        <w:numPr>
          <w:ilvl w:val="0"/>
          <w:numId w:val="2"/>
        </w:numPr>
        <w:spacing w:after="600" w:before="0" w:beforeAutospacing="0" w:lineRule="auto"/>
        <w:ind w:left="720" w:right="300" w:hanging="360"/>
      </w:pPr>
      <w:r w:rsidDel="00000000" w:rsidR="00000000" w:rsidRPr="00000000">
        <w:rPr>
          <w:color w:val="696969"/>
          <w:sz w:val="21"/>
          <w:szCs w:val="21"/>
          <w:highlight w:val="white"/>
          <w:rtl w:val="0"/>
        </w:rPr>
        <w:t xml:space="preserve">On average, a computer science degree from ANY university earns a </w:t>
      </w:r>
      <w:hyperlink r:id="rId15">
        <w:r w:rsidDel="00000000" w:rsidR="00000000" w:rsidRPr="00000000">
          <w:rPr>
            <w:color w:val="7665a0"/>
            <w:sz w:val="21"/>
            <w:szCs w:val="21"/>
            <w:highlight w:val="white"/>
            <w:rtl w:val="0"/>
          </w:rPr>
          <w:t xml:space="preserve">significantly higher</w:t>
        </w:r>
      </w:hyperlink>
      <w:r w:rsidDel="00000000" w:rsidR="00000000" w:rsidRPr="00000000">
        <w:rPr>
          <w:color w:val="696969"/>
          <w:sz w:val="21"/>
          <w:szCs w:val="21"/>
          <w:highlight w:val="white"/>
          <w:rtl w:val="0"/>
        </w:rPr>
        <w:t xml:space="preserve"> financial return on investment than an arts &amp; humanities degree from even the best schools.</w:t>
      </w:r>
    </w:p>
    <w:p w:rsidR="00000000" w:rsidDel="00000000" w:rsidP="00000000" w:rsidRDefault="00000000" w:rsidRPr="00000000" w14:paraId="00000011">
      <w:pPr>
        <w:spacing w:after="600" w:before="600" w:lineRule="auto"/>
        <w:ind w:left="720" w:right="300" w:firstLine="0"/>
        <w:rPr>
          <w:color w:val="696969"/>
          <w:sz w:val="21"/>
          <w:szCs w:val="21"/>
          <w:highlight w:val="white"/>
        </w:rPr>
      </w:pPr>
      <w:r w:rsidDel="00000000" w:rsidR="00000000" w:rsidRPr="00000000">
        <w:rPr>
          <w:rtl w:val="0"/>
        </w:rPr>
      </w:r>
    </w:p>
    <w:p w:rsidR="00000000" w:rsidDel="00000000" w:rsidP="00000000" w:rsidRDefault="00000000" w:rsidRPr="00000000" w14:paraId="00000012">
      <w:pPr>
        <w:spacing w:after="600" w:before="600" w:lineRule="auto"/>
        <w:ind w:right="300"/>
        <w:rPr>
          <w:color w:val="696969"/>
          <w:sz w:val="21"/>
          <w:szCs w:val="21"/>
          <w:highlight w:val="white"/>
        </w:rPr>
      </w:pPr>
      <w:r w:rsidDel="00000000" w:rsidR="00000000" w:rsidRPr="00000000">
        <w:rPr>
          <w:rtl w:val="0"/>
        </w:rPr>
      </w:r>
    </w:p>
    <w:p w:rsidR="00000000" w:rsidDel="00000000" w:rsidP="00000000" w:rsidRDefault="00000000" w:rsidRPr="00000000" w14:paraId="00000013">
      <w:pPr>
        <w:spacing w:after="320" w:before="320" w:lineRule="auto"/>
        <w:ind w:right="300"/>
        <w:rPr>
          <w:color w:val="696969"/>
          <w:sz w:val="21"/>
          <w:szCs w:val="21"/>
          <w:highlight w:val="white"/>
        </w:rPr>
      </w:pPr>
      <w:r w:rsidDel="00000000" w:rsidR="00000000" w:rsidRPr="00000000">
        <w:rPr>
          <w:rtl w:val="0"/>
        </w:rPr>
      </w:r>
    </w:p>
    <w:p w:rsidR="00000000" w:rsidDel="00000000" w:rsidP="00000000" w:rsidRDefault="00000000" w:rsidRPr="00000000" w14:paraId="00000014">
      <w:pPr>
        <w:spacing w:after="320" w:before="320" w:lineRule="auto"/>
        <w:ind w:right="300"/>
        <w:rPr>
          <w:color w:val="696969"/>
          <w:sz w:val="21"/>
          <w:szCs w:val="21"/>
          <w:highlight w:val="white"/>
        </w:rPr>
      </w:pPr>
      <w:r w:rsidDel="00000000" w:rsidR="00000000" w:rsidRPr="00000000">
        <w:rPr>
          <w:rtl w:val="0"/>
        </w:rPr>
      </w:r>
    </w:p>
    <w:p w:rsidR="00000000" w:rsidDel="00000000" w:rsidP="00000000" w:rsidRDefault="00000000" w:rsidRPr="00000000" w14:paraId="00000015">
      <w:pPr>
        <w:spacing w:after="320" w:before="320" w:lineRule="auto"/>
        <w:ind w:left="720" w:right="300" w:firstLine="0"/>
        <w:rPr>
          <w:color w:val="696969"/>
          <w:sz w:val="21"/>
          <w:szCs w:val="21"/>
        </w:rPr>
      </w:pPr>
      <w:r w:rsidDel="00000000" w:rsidR="00000000" w:rsidRPr="00000000">
        <w:rPr>
          <w:rtl w:val="0"/>
        </w:rPr>
      </w:r>
    </w:p>
    <w:p w:rsidR="00000000" w:rsidDel="00000000" w:rsidP="00000000" w:rsidRDefault="00000000" w:rsidRPr="00000000" w14:paraId="00000016">
      <w:pPr>
        <w:spacing w:after="600" w:before="600" w:lineRule="auto"/>
        <w:ind w:right="300"/>
        <w:rPr>
          <w:color w:val="696969"/>
          <w:sz w:val="21"/>
          <w:szCs w:val="2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9696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9696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rookings.edu/research/digitalization-and-the-american-workforce/" TargetMode="External"/><Relationship Id="rId10" Type="http://schemas.openxmlformats.org/officeDocument/2006/relationships/hyperlink" Target="http://services.google.com/fh/files/misc/trends-in-the-state-of-computer-science-report.pdf" TargetMode="External"/><Relationship Id="rId13" Type="http://schemas.openxmlformats.org/officeDocument/2006/relationships/hyperlink" Target="http://ecs.force.com/studies/rstempg?id=a0r0g000009TLfB" TargetMode="External"/><Relationship Id="rId12" Type="http://schemas.openxmlformats.org/officeDocument/2006/relationships/hyperlink" Target="https://blogs.oracle.com/certification/five-job-categories-increasingly-requiring-computer-science-skil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rvices.google.com/fh/files/misc/computer-science-learning-closing-the-gap-girls-brief.pdf" TargetMode="External"/><Relationship Id="rId15" Type="http://schemas.openxmlformats.org/officeDocument/2006/relationships/hyperlink" Target="http://www.economist.com/news/united-states/21646220-it-depends-what-you-study-not-where" TargetMode="External"/><Relationship Id="rId14" Type="http://schemas.openxmlformats.org/officeDocument/2006/relationships/hyperlink" Target="http://www.naceweb.org/job-market/compensation/the-top-paid-majors-for-the-class-of-2018/" TargetMode="External"/><Relationship Id="rId5" Type="http://schemas.openxmlformats.org/officeDocument/2006/relationships/styles" Target="styles.xml"/><Relationship Id="rId6" Type="http://schemas.openxmlformats.org/officeDocument/2006/relationships/hyperlink" Target="https://dl.acm.org/citation.cfm?doid=3363561.3343195" TargetMode="External"/><Relationship Id="rId7" Type="http://schemas.openxmlformats.org/officeDocument/2006/relationships/hyperlink" Target="https://computinged.wordpress.com/2019/10/14/results-from-longitudinal-study-of-female-persistence-in-cs-ap-cs-matters-after-school-programs-and-internships-do-not/" TargetMode="External"/><Relationship Id="rId8" Type="http://schemas.openxmlformats.org/officeDocument/2006/relationships/hyperlink" Target="https://www.accenture.com/t20170417T030444Z__w__/us-en/_acnmedia/Accenture/next-gen-3/girls-who-code/Accenture-Cracking-The-Gender-Code-Report.pdfla=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