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drawing>
          <wp:anchor behindDoc="0" distT="0" distB="0" distL="114300" distR="114300" simplePos="0" locked="0" layoutInCell="0" allowOverlap="1" relativeHeight="2">
            <wp:simplePos x="0" y="0"/>
            <wp:positionH relativeFrom="column">
              <wp:posOffset>0</wp:posOffset>
            </wp:positionH>
            <wp:positionV relativeFrom="paragraph">
              <wp:posOffset>114300</wp:posOffset>
            </wp:positionV>
            <wp:extent cx="1171575" cy="685800"/>
            <wp:effectExtent l="0" t="0" r="0" b="0"/>
            <wp:wrapTopAndBottom/>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171575" cy="685800"/>
                    </a:xfrm>
                    <a:prstGeom prst="rect">
                      <a:avLst/>
                    </a:prstGeom>
                    <a:noFill/>
                  </pic:spPr>
                </pic:pic>
              </a:graphicData>
            </a:graphic>
          </wp:anchor>
        </w:drawing>
      </w:r>
      <w:r>
        <w:rPr>
          <w:rFonts w:ascii="Times New Roman" w:hAnsi="Times New Roman"/>
        </w:rPr>
        <w:br/>
        <w:t>Date: {date}</w:t>
        <w:br/>
        <w:br/>
        <w:t>Name: {name}</w:t>
        <w:br/>
        <w:br/>
        <w:t>Construction Coordinator: {coordinator}</w:t>
        <w:br/>
        <w:br/>
        <w:t>Subject: {permitNumber}</w:t>
        <w:br/>
        <w:br/>
        <w:t>NAME: {address}</w:t>
        <w:br/>
        <w:br/>
        <w:t>Dear Sir or Madam:</w:t>
      </w:r>
    </w:p>
    <w:p>
      <w:pPr>
        <w:pStyle w:val="Normal"/>
        <w:rPr>
          <w:rFonts w:ascii="Times New Roman" w:hAnsi="Times New Roman"/>
        </w:rPr>
      </w:pPr>
      <w:r>
        <w:rPr>
          <w:rFonts w:ascii="Times New Roman" w:hAnsi="Times New Roman"/>
        </w:rPr>
        <w:t xml:space="preserve">The following make-ready work needs to be performed before the requested new attachments or upgrades can be made. An inspection must be performed upon notification of make-ready work completion and prior to new installation approval. </w:t>
      </w:r>
      <w:r>
        <w:rPr>
          <w:rFonts w:ascii="Times New Roman" w:hAnsi="Times New Roman"/>
          <w:color w:val="FF0000"/>
        </w:rPr>
        <w:t>Do not make any new attachments to PNM poles until this make-ready process is complete and the approval for new attachments has been formally given.</w:t>
      </w:r>
    </w:p>
    <w:p>
      <w:pPr>
        <w:pStyle w:val="Normal"/>
        <w:rPr>
          <w:rFonts w:ascii="Times New Roman" w:hAnsi="Times New Roman"/>
          <w:b/>
          <w:bCs/>
          <w:color w:val="FF0000"/>
        </w:rPr>
      </w:pPr>
      <w:r>
        <w:rPr>
          <w:rFonts w:ascii="Times New Roman" w:hAnsi="Times New Roman"/>
          <w:b/>
          <w:bCs/>
          <w:color w:val="FF0000"/>
        </w:rPr>
        <w:t>PNM will provide “preliminary estimate” of construction make ready costs (if applicable) within 14 days.  PNM Communication must accept or deny make ready estimate within 14 days thereafter or PNM will actively withdraw make ready estimate.</w:t>
      </w:r>
    </w:p>
    <w:p>
      <w:pPr>
        <w:pStyle w:val="Normal"/>
        <w:rPr>
          <w:rFonts w:ascii="Times New Roman" w:hAnsi="Times New Roman"/>
        </w:rPr>
      </w:pPr>
      <w:r>
        <w:rPr>
          <w:rFonts w:ascii="Times New Roman" w:hAnsi="Times New Roman"/>
        </w:rPr>
        <w:t>This Make-Ready report is an outline of the minimum work that would need to be performed in order to bring the PNM owned structures on this application into compliance with the NESC, based upon the sags existing at the time of inspection. It is the applicant’s responsibility to ensure that work needed is engineered in such a way that all requirements as outlined in the NESC are met on these structures at largest final sag (NESC 232).</w:t>
      </w:r>
    </w:p>
    <w:p>
      <w:pPr>
        <w:pStyle w:val="Normal"/>
        <w:rPr>
          <w:rFonts w:ascii="Times New Roman" w:hAnsi="Times New Roman" w:eastAsia="" w:cs="" w:cstheme="minorBidi" w:eastAsiaTheme="minorEastAsia"/>
          <w:highlight w:val="none"/>
          <w:shd w:fill="FFFF00" w:val="clear"/>
        </w:rPr>
      </w:pPr>
      <w:r>
        <w:rPr>
          <w:rFonts w:eastAsia="" w:cs="" w:cstheme="minorBidi" w:eastAsiaTheme="minorEastAsia"/>
          <w:shd w:fill="FFFF00" w:val="clear"/>
        </w:rPr>
        <w:t>The applicant is responsible for the completion of all other third-party attachment adjustments and pole transfers, (as outlined in the joint use agreement.)</w:t>
      </w:r>
    </w:p>
    <w:p>
      <w:pPr>
        <w:pStyle w:val="Normal"/>
        <w:rPr>
          <w:rFonts w:ascii="Times New Roman" w:hAnsi="Times New Roman"/>
        </w:rPr>
      </w:pPr>
      <w:r>
        <w:rPr>
          <w:rFonts w:ascii="Times New Roman" w:hAnsi="Times New Roman"/>
        </w:rPr>
        <w:t xml:space="preserve">The route represented in this Make-Ready Report may contain poles owned by third parties, designated as “Foreign Owned”. Any make-ready work requirements associated with this route are documented </w:t>
      </w:r>
      <w:r>
        <w:rPr>
          <w:rFonts w:ascii="Times New Roman" w:hAnsi="Times New Roman"/>
          <w:i/>
          <w:iCs/>
        </w:rPr>
        <w:t>only</w:t>
      </w:r>
      <w:r>
        <w:rPr>
          <w:rFonts w:ascii="Times New Roman" w:hAnsi="Times New Roman"/>
        </w:rPr>
        <w:t xml:space="preserve"> for those structures owned by PNM and </w:t>
      </w:r>
      <w:r>
        <w:rPr>
          <w:rFonts w:ascii="Times New Roman" w:hAnsi="Times New Roman"/>
          <w:i/>
          <w:iCs/>
        </w:rPr>
        <w:t>do not include</w:t>
      </w:r>
      <w:r>
        <w:rPr>
          <w:rFonts w:ascii="Times New Roman" w:hAnsi="Times New Roman"/>
        </w:rPr>
        <w:t xml:space="preserve"> “Foreign Owned” structures. It shall be the responsibility of the applicant to contact the third-party owner of any “Foreign Owned” structures for joint use requirements on these structures.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8656" w:type="dxa"/>
        <w:jc w:val="start"/>
        <w:tblInd w:w="113" w:type="dxa"/>
        <w:tblLayout w:type="fixed"/>
        <w:tblCellMar>
          <w:top w:w="0" w:type="dxa"/>
          <w:start w:w="108" w:type="dxa"/>
          <w:bottom w:w="0" w:type="dxa"/>
          <w:end w:w="108" w:type="dxa"/>
        </w:tblCellMar>
        <w:tblLook w:firstRow="0" w:noVBand="0" w:lastRow="0" w:firstColumn="1" w:lastColumn="0" w:noHBand="0" w:val="0080"/>
      </w:tblPr>
      <w:tblGrid>
        <w:gridCol w:w="700"/>
        <w:gridCol w:w="1985"/>
        <w:gridCol w:w="5971"/>
      </w:tblGrid>
      <w:tr>
        <w:trPr>
          <w:trHeight w:val="180" w:hRule="atLeast"/>
          <w:cantSplit w:val="true"/>
        </w:trPr>
        <w:tc>
          <w:tcPr>
            <w:tcW w:w="700" w:type="dxa"/>
            <w:tcBorders>
              <w:top w:val="single" w:sz="4" w:space="0" w:color="000000"/>
              <w:start w:val="single" w:sz="4" w:space="0" w:color="000000"/>
              <w:bottom w:val="single" w:sz="6" w:space="0" w:color="000000"/>
              <w:end w:val="single" w:sz="6" w:space="0" w:color="000000"/>
            </w:tcBorders>
          </w:tcPr>
          <w:p>
            <w:pPr>
              <w:pStyle w:val="Normal"/>
              <w:spacing w:before="0" w:after="160"/>
              <w:jc w:val="center"/>
              <w:rPr>
                <w:rFonts w:ascii="Times New Roman" w:hAnsi="Times New Roman"/>
              </w:rPr>
            </w:pPr>
            <w:r>
              <w:rPr>
                <w:rFonts w:ascii="Times New Roman" w:hAnsi="Times New Roman"/>
                <w:b/>
                <w:bCs/>
              </w:rPr>
              <w:t>#</w:t>
            </w:r>
          </w:p>
        </w:tc>
        <w:tc>
          <w:tcPr>
            <w:tcW w:w="1985" w:type="dxa"/>
            <w:tcBorders>
              <w:top w:val="single" w:sz="4" w:space="0" w:color="000000"/>
              <w:start w:val="single" w:sz="6" w:space="0" w:color="000000"/>
              <w:bottom w:val="single" w:sz="6" w:space="0" w:color="000000"/>
              <w:end w:val="single" w:sz="6" w:space="0" w:color="000000"/>
            </w:tcBorders>
          </w:tcPr>
          <w:p>
            <w:pPr>
              <w:pStyle w:val="Normal"/>
              <w:spacing w:before="0" w:after="160"/>
              <w:jc w:val="center"/>
              <w:rPr>
                <w:rFonts w:ascii="Times New Roman" w:hAnsi="Times New Roman"/>
              </w:rPr>
            </w:pPr>
            <w:r>
              <w:rPr>
                <w:rFonts w:ascii="Times New Roman" w:hAnsi="Times New Roman"/>
                <w:b/>
                <w:bCs/>
              </w:rPr>
              <w:t>Pole</w:t>
            </w:r>
          </w:p>
        </w:tc>
        <w:tc>
          <w:tcPr>
            <w:tcW w:w="5971" w:type="dxa"/>
            <w:tcBorders>
              <w:top w:val="single" w:sz="4" w:space="0" w:color="000000"/>
              <w:start w:val="single" w:sz="6" w:space="0" w:color="000000"/>
              <w:bottom w:val="single" w:sz="6" w:space="0" w:color="000000"/>
              <w:end w:val="single" w:sz="4" w:space="0" w:color="000000"/>
            </w:tcBorders>
          </w:tcPr>
          <w:p>
            <w:pPr>
              <w:pStyle w:val="Normal"/>
              <w:spacing w:before="0" w:after="160"/>
              <w:rPr>
                <w:rFonts w:ascii="Times New Roman" w:hAnsi="Times New Roman"/>
                <w:b/>
                <w:bCs/>
              </w:rPr>
            </w:pPr>
            <w:r>
              <w:rPr>
                <w:rFonts w:ascii="Times New Roman" w:hAnsi="Times New Roman"/>
                <w:b/>
                <w:bCs/>
              </w:rPr>
              <w:t>Comments</w:t>
            </w:r>
          </w:p>
        </w:tc>
      </w:tr>
    </w:tbl>
    <w:p>
      <w:pPr>
        <w:pStyle w:val="Normal"/>
        <w:rPr>
          <w:rFonts w:ascii="Times New Roman" w:hAnsi="Times New Roman"/>
        </w:rPr>
      </w:pPr>
      <w:r>
        <w:rPr>
          <w:rFonts w:ascii="Times New Roman" w:hAnsi="Times New Roman"/>
        </w:rPr>
        <w:t>{#results}</w:t>
      </w:r>
    </w:p>
    <w:tbl>
      <w:tblPr>
        <w:tblW w:w="8656" w:type="dxa"/>
        <w:jc w:val="start"/>
        <w:tblInd w:w="113" w:type="dxa"/>
        <w:tblLayout w:type="fixed"/>
        <w:tblCellMar>
          <w:top w:w="0" w:type="dxa"/>
          <w:start w:w="108" w:type="dxa"/>
          <w:bottom w:w="0" w:type="dxa"/>
          <w:end w:w="108" w:type="dxa"/>
        </w:tblCellMar>
        <w:tblLook w:firstRow="0" w:noVBand="0" w:lastRow="0" w:firstColumn="1" w:lastColumn="0" w:noHBand="0" w:val="0080"/>
      </w:tblPr>
      <w:tblGrid>
        <w:gridCol w:w="700"/>
        <w:gridCol w:w="1985"/>
        <w:gridCol w:w="5971"/>
      </w:tblGrid>
      <w:tr>
        <w:trPr>
          <w:trHeight w:val="49" w:hRule="atLeast"/>
          <w:cantSplit w:val="true"/>
        </w:trPr>
        <w:tc>
          <w:tcPr>
            <w:tcW w:w="700" w:type="dxa"/>
            <w:tcBorders>
              <w:top w:val="single" w:sz="6" w:space="0" w:color="000000"/>
              <w:start w:val="single" w:sz="4" w:space="0" w:color="000000"/>
              <w:bottom w:val="single" w:sz="6" w:space="0" w:color="000000"/>
              <w:end w:val="single" w:sz="6" w:space="0" w:color="000000"/>
            </w:tcBorders>
            <w:vAlign w:val="center"/>
          </w:tcPr>
          <w:p>
            <w:pPr>
              <w:pStyle w:val="Normal"/>
              <w:spacing w:before="0" w:after="160"/>
              <w:jc w:val="center"/>
              <w:rPr>
                <w:rFonts w:ascii="Times New Roman" w:hAnsi="Times New Roman"/>
              </w:rPr>
            </w:pPr>
            <w:r>
              <w:rPr>
                <w:rFonts w:ascii="Times New Roman" w:hAnsi="Times New Roman"/>
                <w:b/>
                <w:bCs/>
              </w:rPr>
              <w:t>{scid}</w:t>
            </w:r>
          </w:p>
        </w:tc>
        <w:tc>
          <w:tcPr>
            <w:tcW w:w="198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60"/>
              <w:jc w:val="center"/>
              <w:rPr>
                <w:rFonts w:ascii="Times New Roman" w:hAnsi="Times New Roman"/>
              </w:rPr>
            </w:pPr>
            <w:r>
              <w:rPr>
                <w:rFonts w:ascii="Times New Roman" w:hAnsi="Times New Roman"/>
                <w:b/>
              </w:rPr>
              <w:t>{PoleNumber}</w:t>
              <w:br/>
              <w:t>{noAccess}</w:t>
            </w:r>
          </w:p>
        </w:tc>
        <w:tc>
          <w:tcPr>
            <w:tcW w:w="5971" w:type="dxa"/>
            <w:tcBorders>
              <w:top w:val="single" w:sz="6" w:space="0" w:color="000000"/>
              <w:start w:val="single" w:sz="6" w:space="0" w:color="000000"/>
              <w:bottom w:val="single" w:sz="6" w:space="0" w:color="000000"/>
              <w:end w:val="single" w:sz="4" w:space="0" w:color="000000"/>
            </w:tcBorders>
          </w:tcPr>
          <w:p>
            <w:pPr>
              <w:pStyle w:val="Normal"/>
              <w:numPr>
                <w:ilvl w:val="0"/>
                <w:numId w:val="0"/>
              </w:numPr>
              <w:spacing w:before="0" w:after="158"/>
              <w:ind w:hanging="0" w:start="720"/>
              <w:contextualSpacing/>
              <w:rPr>
                <w:rFonts w:ascii="Times New Roman" w:hAnsi="Times New Roman"/>
              </w:rPr>
            </w:pPr>
            <w:r>
              <w:rPr>
                <w:rFonts w:ascii="Times New Roman" w:hAnsi="Times New Roman"/>
              </w:rPr>
              <w:t>{#comments}</w:t>
            </w:r>
          </w:p>
          <w:p>
            <w:pPr>
              <w:pStyle w:val="Normal"/>
              <w:numPr>
                <w:ilvl w:val="0"/>
                <w:numId w:val="1"/>
              </w:numPr>
              <w:spacing w:before="0" w:after="158"/>
              <w:contextualSpacing/>
              <w:rPr>
                <w:rFonts w:ascii="Times New Roman" w:hAnsi="Times New Roman"/>
              </w:rPr>
            </w:pPr>
            <w:r>
              <w:rPr>
                <w:rFonts w:ascii="Times New Roman" w:hAnsi="Times New Roman"/>
              </w:rPr>
              <w:t>{.}</w:t>
            </w:r>
          </w:p>
          <w:p>
            <w:pPr>
              <w:pStyle w:val="Normal"/>
              <w:numPr>
                <w:ilvl w:val="0"/>
                <w:numId w:val="0"/>
              </w:numPr>
              <w:spacing w:before="0" w:after="158"/>
              <w:ind w:hanging="0" w:start="720"/>
              <w:contextualSpacing/>
              <w:rPr>
                <w:rFonts w:ascii="Times New Roman" w:hAnsi="Times New Roman"/>
              </w:rPr>
            </w:pPr>
            <w:r>
              <w:rPr>
                <w:rFonts w:ascii="Times New Roman" w:hAnsi="Times New Roman"/>
              </w:rPr>
              <w:t>{/comments}</w:t>
            </w:r>
          </w:p>
        </w:tc>
      </w:tr>
    </w:tbl>
    <w:p>
      <w:pPr>
        <w:pStyle w:val="Normal"/>
        <w:spacing w:before="0" w:after="160"/>
        <w:rPr>
          <w:rFonts w:ascii="Times New Roman" w:hAnsi="Times New Roman"/>
        </w:rPr>
      </w:pPr>
      <w:r>
        <w:rPr>
          <w:rFonts w:ascii="Times New Roman" w:hAnsi="Times New Roman"/>
        </w:rPr>
        <w:t>{/results}</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r>
        <w:br w:type="page"/>
      </w:r>
    </w:p>
    <w:p>
      <w:pPr>
        <w:pStyle w:val="Normal"/>
        <w:spacing w:before="0" w:after="158"/>
        <w:ind w:end="-180"/>
        <w:rPr>
          <w:b/>
          <w:bCs/>
          <w:sz w:val="16"/>
          <w:szCs w:val="16"/>
        </w:rPr>
      </w:pPr>
      <w:r>
        <w:rPr>
          <w:b/>
          <w:bCs/>
          <w:sz w:val="16"/>
          <w:szCs w:val="16"/>
        </w:rPr>
        <w:t>Approximate cost of PNM make-ready work: _____________</w:t>
        <w:br/>
        <w:br/>
      </w:r>
      <w:r>
        <w:rPr>
          <w:sz w:val="16"/>
          <w:szCs w:val="16"/>
        </w:rPr>
        <w:t>Please email if you have any questions:</w:t>
        <w:br/>
        <w:br/>
        <w:t>Respectfully submitted,</w:t>
        <w:br/>
        <w:t>{name}</w:t>
      </w:r>
    </w:p>
    <w:p>
      <w:pPr>
        <w:pStyle w:val="Normal"/>
        <w:spacing w:before="0" w:after="158"/>
        <w:rPr>
          <w:sz w:val="16"/>
          <w:szCs w:val="16"/>
        </w:rPr>
      </w:pPr>
      <w:r>
        <w:rPr>
          <w:sz w:val="16"/>
          <w:szCs w:val="16"/>
        </w:rPr>
        <w:t>Pole Engineering</w:t>
        <w:br/>
        <w:t xml:space="preserve">TechServ Engineering &amp; Consulting </w:t>
        <w:br/>
        <w:t>3258 Earl Campbell Pkwy</w:t>
        <w:br/>
      </w:r>
      <w:r>
        <w:rPr>
          <w:sz w:val="16"/>
          <w:szCs w:val="16"/>
          <w:lang w:val="fr-FR"/>
        </w:rPr>
        <w:t>{userEmail}</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58"/>
      <w:jc w:val="star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0"/>
      <w:ind w:start="72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558</TotalTime>
  <Application>LibreOffice/24.8.0.3$Windows_X86_64 LibreOffice_project/0bdf1299c94fe897b119f97f3c613e9dca6be583</Application>
  <AppVersion>15.0000</AppVersion>
  <Pages>3</Pages>
  <Words>318</Words>
  <Characters>1783</Characters>
  <CharactersWithSpaces>2092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2024-09-10T01:52:15Z</dcterms:created>
  <dc:creator>Hunter Mooney</dc:creator>
  <dc:description/>
  <dc:language>en-US</dc:language>
  <cp:lastModifiedBy/>
  <dcterms:modified xsi:type="dcterms:W3CDTF">2024-10-06T21:48:43Z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