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Questionnaires and Exercises</w:t>
        <w:br/>
      </w:r>
      <w:r>
        <w:rPr>
          <w:b/>
          <w:sz w:val="28"/>
        </w:rPr>
        <w:t>Using a Sandboxed Ticketing Bot to Teach Digital Trust and IT Audit</w:t>
      </w:r>
    </w:p>
    <w:p>
      <w:r>
        <w:t>Prepared for IRB/HRPP attachment. This packet contains the hard-copy research questionnaire and the classroom exercise materials. The research data will consist only of the voluntary hard-copy questionnaire unless otherwise approved by the IRB.</w:t>
      </w:r>
    </w:p>
    <w:p>
      <w:pPr>
        <w:pStyle w:val="Heading1"/>
      </w:pPr>
      <w:r>
        <w:t>A. Administration Notes for Instructor</w:t>
      </w:r>
    </w:p>
    <w:p>
      <w:pPr>
        <w:pStyle w:val="ListBullet"/>
      </w:pPr>
      <w:r>
        <w:t>The classroom exercise is part of normal instruction. The research component is limited to the voluntary hard-copy questionnaire completed after the exercise.</w:t>
      </w:r>
    </w:p>
    <w:p>
      <w:pPr>
        <w:pStyle w:val="ListBullet"/>
      </w:pPr>
      <w:r>
        <w:t>Do not collect names, student ID numbers, email addresses, grades, or other direct identifiers on the research questionnaire.</w:t>
      </w:r>
    </w:p>
    <w:p>
      <w:pPr>
        <w:pStyle w:val="ListBullet"/>
      </w:pPr>
      <w:r>
        <w:t>Distribute the consent statement before the questionnaire. Students who do not consent should not submit the research questionnaire.</w:t>
      </w:r>
    </w:p>
    <w:p>
      <w:pPr>
        <w:pStyle w:val="ListBullet"/>
      </w:pPr>
      <w:r>
        <w:t>Exercise worksheets may be used for classroom instruction. They should not be included in the research dataset unless separately approved by the IRB and covered by consent.</w:t>
      </w:r>
    </w:p>
    <w:p>
      <w:pPr>
        <w:pStyle w:val="ListBullet"/>
      </w:pPr>
      <w:r>
        <w:t>The sandboxed ticketing website is used only for the educational activity. No research data are collected through the website itself unless separately approved.</w:t>
      </w:r>
    </w:p>
    <w:p>
      <w:pPr>
        <w:pStyle w:val="Heading1"/>
      </w:pPr>
      <w:r>
        <w:t>B. Hard-Copy Research Questionnaire / Answer Sheet</w:t>
      </w:r>
    </w:p>
    <w:tbl>
      <w:tblPr>
        <w:tblStyle w:val="TableGrid"/>
        <w:tblW w:type="auto" w:w="0"/>
        <w:tblLook w:firstColumn="1" w:firstRow="1" w:lastColumn="0" w:lastRow="0" w:noHBand="0" w:noVBand="1" w:val="04A0"/>
      </w:tblPr>
      <w:tblGrid>
        <w:gridCol w:w="10080"/>
      </w:tblGrid>
      <w:tr>
        <w:tc>
          <w:tcPr>
            <w:tcW w:type="dxa" w:w="10080"/>
            <w:shd w:fill="F2F2F2"/>
            <w:vAlign w:val="top"/>
          </w:tcPr>
          <w:p>
            <w:pPr>
              <w:spacing w:after="60"/>
            </w:pPr>
            <w:r>
              <w:rPr>
                <w:b/>
              </w:rPr>
              <w:t>Participant Instructions</w:t>
            </w:r>
            <w:r>
              <w:br/>
              <w:t>This questionnaire is voluntary. Do not write your name, student ID, email address, or any other identifying information on this form. Your decision to complete or not complete this questionnaire will not affect your grade, standing in the course, or relationship with the instructor or college. Please answer based on your experience with the ticketing-bot case.</w:t>
            </w:r>
          </w:p>
        </w:tc>
      </w:tr>
    </w:tbl>
    <w:p/>
    <w:p>
      <w:r>
        <w:t>Consent confirmation:</w:t>
      </w:r>
    </w:p>
    <w:tbl>
      <w:tblPr>
        <w:tblStyle w:val="TableGrid"/>
        <w:tblW w:type="auto" w:w="0"/>
        <w:tblLook w:firstColumn="1" w:firstRow="1" w:lastColumn="0" w:lastRow="0" w:noHBand="0" w:noVBand="1" w:val="04A0"/>
      </w:tblPr>
      <w:tblGrid>
        <w:gridCol w:w="10080"/>
      </w:tblGrid>
      <w:tr>
        <w:tc>
          <w:tcPr>
            <w:tcW w:type="dxa" w:w="10080"/>
            <w:vAlign w:val="top"/>
          </w:tcPr>
          <w:p>
            <w:pPr>
              <w:spacing w:after="60"/>
            </w:pPr>
            <w:r>
              <w:t>□ I have read the consent information and agree to complete this voluntary research questionnaire.</w:t>
            </w:r>
          </w:p>
        </w:tc>
      </w:tr>
      <w:tr>
        <w:tc>
          <w:tcPr>
            <w:tcW w:type="dxa" w:w="10080"/>
            <w:vAlign w:val="top"/>
          </w:tcPr>
          <w:p>
            <w:pPr>
              <w:spacing w:after="60"/>
            </w:pPr>
            <w:r>
              <w:t>□ I do not agree to participate. I will return this form blank or not submit it.</w:t>
            </w:r>
          </w:p>
        </w:tc>
      </w:tr>
    </w:tbl>
    <w:p>
      <w:r>
        <w:t>Response scale: 1 = Strongly disagree; 2 = Disagree; 3 = Somewhat disagree; 4 = Neither agree nor disagree; 5 = Somewhat agree; 6 = Agree; 7 = Strongly agree.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W w:w="792" w:type="dxa"/>
            <w:vAlign w:val="top"/>
          </w:tcPr>
          <w:p>
            <w:pPr>
              <w:spacing w:after="60"/>
              <w:jc w:val="center"/>
            </w:pPr>
            <w:r>
              <w:rPr>
                <w:b/>
              </w:rPr>
              <w:t>Item</w:t>
            </w:r>
          </w:p>
        </w:tc>
        <w:tc>
          <w:tcPr>
            <w:tcW w:type="dxa" w:w="3360"/>
            <w:shd w:fill="D9EAF7"/>
            <w:tcW w:w="7488" w:type="dxa"/>
            <w:vAlign w:val="top"/>
          </w:tcPr>
          <w:p>
            <w:pPr>
              <w:spacing w:after="60"/>
              <w:jc w:val="center"/>
            </w:pPr>
            <w:r>
              <w:rPr>
                <w:b/>
              </w:rPr>
              <w:t>Statement</w:t>
            </w:r>
          </w:p>
        </w:tc>
        <w:tc>
          <w:tcPr>
            <w:tcW w:type="dxa" w:w="3360"/>
            <w:shd w:fill="D9EAF7"/>
            <w:tcW w:w="2232" w:type="dxa"/>
            <w:vAlign w:val="top"/>
          </w:tcPr>
          <w:p>
            <w:pPr>
              <w:spacing w:after="60"/>
              <w:jc w:val="center"/>
            </w:pPr>
            <w:r>
              <w:rPr>
                <w:b/>
              </w:rPr>
              <w:t>Response (circle one)</w:t>
            </w:r>
          </w:p>
        </w:tc>
      </w:tr>
      <w:tr>
        <w:tc>
          <w:tcPr>
            <w:tcW w:type="dxa" w:w="3360"/>
            <w:tcW w:w="792" w:type="dxa"/>
            <w:vAlign w:val="top"/>
          </w:tcPr>
          <w:p>
            <w:pPr>
              <w:spacing w:after="60"/>
            </w:pPr>
            <w:r>
              <w:t>Q1</w:t>
            </w:r>
          </w:p>
        </w:tc>
        <w:tc>
          <w:tcPr>
            <w:tcW w:type="dxa" w:w="3360"/>
            <w:tcW w:w="7488" w:type="dxa"/>
            <w:vAlign w:val="top"/>
          </w:tcPr>
          <w:p>
            <w:pPr>
              <w:spacing w:after="60"/>
            </w:pPr>
            <w:r>
              <w:t>As a result of the case, I have a better understanding of how to test IT controls in a digital transaction system.</w:t>
            </w:r>
          </w:p>
        </w:tc>
        <w:tc>
          <w:tcPr>
            <w:tcW w:type="dxa" w:w="3360"/>
            <w:tcW w:w="2232" w:type="dxa"/>
            <w:vAlign w:val="top"/>
          </w:tcPr>
          <w:p>
            <w:pPr>
              <w:spacing w:after="60"/>
              <w:jc w:val="center"/>
            </w:pPr>
            <w:r>
              <w:t>1   2   3   4   5   6   7</w:t>
            </w:r>
          </w:p>
        </w:tc>
      </w:tr>
      <w:tr>
        <w:tc>
          <w:tcPr>
            <w:tcW w:type="dxa" w:w="3360"/>
            <w:tcW w:w="792" w:type="dxa"/>
            <w:vAlign w:val="top"/>
          </w:tcPr>
          <w:p>
            <w:pPr>
              <w:spacing w:after="60"/>
            </w:pPr>
            <w:r>
              <w:t>Q2</w:t>
            </w:r>
          </w:p>
        </w:tc>
        <w:tc>
          <w:tcPr>
            <w:tcW w:type="dxa" w:w="3360"/>
            <w:tcW w:w="7488" w:type="dxa"/>
            <w:vAlign w:val="top"/>
          </w:tcPr>
          <w:p>
            <w:pPr>
              <w:spacing w:after="60"/>
            </w:pPr>
            <w:r>
              <w:t>As a result of the case, I better understand how automated purchasing can create internal-control risks.</w:t>
            </w:r>
          </w:p>
        </w:tc>
        <w:tc>
          <w:tcPr>
            <w:tcW w:type="dxa" w:w="3360"/>
            <w:tcW w:w="2232" w:type="dxa"/>
            <w:vAlign w:val="top"/>
          </w:tcPr>
          <w:p>
            <w:pPr>
              <w:spacing w:after="60"/>
              <w:jc w:val="center"/>
            </w:pPr>
            <w:r>
              <w:t>1   2   3   4   5   6   7</w:t>
            </w:r>
          </w:p>
        </w:tc>
      </w:tr>
      <w:tr>
        <w:tc>
          <w:tcPr>
            <w:tcW w:type="dxa" w:w="3360"/>
            <w:tcW w:w="792" w:type="dxa"/>
            <w:vAlign w:val="top"/>
          </w:tcPr>
          <w:p>
            <w:pPr>
              <w:spacing w:after="60"/>
            </w:pPr>
            <w:r>
              <w:t>Q3</w:t>
            </w:r>
          </w:p>
        </w:tc>
        <w:tc>
          <w:tcPr>
            <w:tcW w:type="dxa" w:w="3360"/>
            <w:tcW w:w="7488" w:type="dxa"/>
            <w:vAlign w:val="top"/>
          </w:tcPr>
          <w:p>
            <w:pPr>
              <w:spacing w:after="60"/>
            </w:pPr>
            <w:r>
              <w:t>As a result of the case, I better understand the difference between a recorded transaction and an authorized transaction.</w:t>
            </w:r>
          </w:p>
        </w:tc>
        <w:tc>
          <w:tcPr>
            <w:tcW w:type="dxa" w:w="3360"/>
            <w:tcW w:w="2232" w:type="dxa"/>
            <w:vAlign w:val="top"/>
          </w:tcPr>
          <w:p>
            <w:pPr>
              <w:spacing w:after="60"/>
              <w:jc w:val="center"/>
            </w:pPr>
            <w:r>
              <w:t>1   2   3   4   5   6   7</w:t>
            </w:r>
          </w:p>
        </w:tc>
      </w:tr>
      <w:tr>
        <w:tc>
          <w:tcPr>
            <w:tcW w:type="dxa" w:w="3360"/>
            <w:tcW w:w="792" w:type="dxa"/>
            <w:vAlign w:val="top"/>
          </w:tcPr>
          <w:p>
            <w:pPr>
              <w:spacing w:after="60"/>
            </w:pPr>
            <w:r>
              <w:t>Q4</w:t>
            </w:r>
          </w:p>
        </w:tc>
        <w:tc>
          <w:tcPr>
            <w:tcW w:type="dxa" w:w="3360"/>
            <w:tcW w:w="7488" w:type="dxa"/>
            <w:vAlign w:val="top"/>
          </w:tcPr>
          <w:p>
            <w:pPr>
              <w:spacing w:after="60"/>
            </w:pPr>
            <w:r>
              <w:t>As a result of the case, I improved my ability to inspect basic HTML or Document Object Model (DOM) elements.</w:t>
            </w:r>
          </w:p>
        </w:tc>
        <w:tc>
          <w:tcPr>
            <w:tcW w:type="dxa" w:w="3360"/>
            <w:tcW w:w="2232" w:type="dxa"/>
            <w:vAlign w:val="top"/>
          </w:tcPr>
          <w:p>
            <w:pPr>
              <w:spacing w:after="60"/>
              <w:jc w:val="center"/>
            </w:pPr>
            <w:r>
              <w:t>1   2   3   4   5   6   7</w:t>
            </w:r>
          </w:p>
        </w:tc>
      </w:tr>
      <w:tr>
        <w:tc>
          <w:tcPr>
            <w:tcW w:type="dxa" w:w="3360"/>
            <w:tcW w:w="792" w:type="dxa"/>
            <w:vAlign w:val="top"/>
          </w:tcPr>
          <w:p>
            <w:pPr>
              <w:spacing w:after="60"/>
            </w:pPr>
            <w:r>
              <w:t>Q5</w:t>
            </w:r>
          </w:p>
        </w:tc>
        <w:tc>
          <w:tcPr>
            <w:tcW w:type="dxa" w:w="3360"/>
            <w:tcW w:w="7488" w:type="dxa"/>
            <w:vAlign w:val="top"/>
          </w:tcPr>
          <w:p>
            <w:pPr>
              <w:spacing w:after="60"/>
            </w:pPr>
            <w:r>
              <w:t>As a result of the case, I better understand how AI-assisted coding can help auditors examine digital systems.</w:t>
            </w:r>
          </w:p>
        </w:tc>
        <w:tc>
          <w:tcPr>
            <w:tcW w:type="dxa" w:w="3360"/>
            <w:tcW w:w="2232" w:type="dxa"/>
            <w:vAlign w:val="top"/>
          </w:tcPr>
          <w:p>
            <w:pPr>
              <w:spacing w:after="60"/>
              <w:jc w:val="center"/>
            </w:pPr>
            <w:r>
              <w:t>1   2   3   4   5   6   7</w:t>
            </w:r>
          </w:p>
        </w:tc>
      </w:tr>
      <w:tr>
        <w:tc>
          <w:tcPr>
            <w:tcW w:type="dxa" w:w="3360"/>
            <w:tcW w:w="792" w:type="dxa"/>
            <w:vAlign w:val="top"/>
          </w:tcPr>
          <w:p>
            <w:pPr>
              <w:spacing w:after="60"/>
            </w:pPr>
            <w:r>
              <w:t>Q6</w:t>
            </w:r>
          </w:p>
        </w:tc>
        <w:tc>
          <w:tcPr>
            <w:tcW w:type="dxa" w:w="3360"/>
            <w:tcW w:w="7488" w:type="dxa"/>
            <w:vAlign w:val="top"/>
          </w:tcPr>
          <w:p>
            <w:pPr>
              <w:spacing w:after="60"/>
            </w:pPr>
            <w:r>
              <w:t>As a result of the case, I better understand the risks of relying on AI-generated code without validation.</w:t>
            </w:r>
          </w:p>
        </w:tc>
        <w:tc>
          <w:tcPr>
            <w:tcW w:type="dxa" w:w="3360"/>
            <w:tcW w:w="2232" w:type="dxa"/>
            <w:vAlign w:val="top"/>
          </w:tcPr>
          <w:p>
            <w:pPr>
              <w:spacing w:after="60"/>
              <w:jc w:val="center"/>
            </w:pPr>
            <w:r>
              <w:t>1   2   3   4   5   6   7</w:t>
            </w:r>
          </w:p>
        </w:tc>
      </w:tr>
      <w:tr>
        <w:tc>
          <w:tcPr>
            <w:tcW w:type="dxa" w:w="3360"/>
            <w:tcW w:w="792" w:type="dxa"/>
            <w:vAlign w:val="top"/>
          </w:tcPr>
          <w:p>
            <w:pPr>
              <w:spacing w:after="60"/>
            </w:pPr>
            <w:r>
              <w:t>Q7</w:t>
            </w:r>
          </w:p>
        </w:tc>
        <w:tc>
          <w:tcPr>
            <w:tcW w:type="dxa" w:w="3360"/>
            <w:tcW w:w="7488" w:type="dxa"/>
            <w:vAlign w:val="top"/>
          </w:tcPr>
          <w:p>
            <w:pPr>
              <w:spacing w:after="60"/>
            </w:pPr>
            <w:r>
              <w:t>The internal-control review helped me connect technical observations to audit findings.</w:t>
            </w:r>
          </w:p>
        </w:tc>
        <w:tc>
          <w:tcPr>
            <w:tcW w:type="dxa" w:w="3360"/>
            <w:tcW w:w="2232" w:type="dxa"/>
            <w:vAlign w:val="top"/>
          </w:tcPr>
          <w:p>
            <w:pPr>
              <w:spacing w:after="60"/>
              <w:jc w:val="center"/>
            </w:pPr>
            <w:r>
              <w:t>1   2   3   4   5   6   7</w:t>
            </w:r>
          </w:p>
        </w:tc>
      </w:tr>
      <w:tr>
        <w:tc>
          <w:tcPr>
            <w:tcW w:type="dxa" w:w="3360"/>
            <w:tcW w:w="792" w:type="dxa"/>
            <w:vAlign w:val="top"/>
          </w:tcPr>
          <w:p>
            <w:pPr>
              <w:spacing w:after="60"/>
            </w:pPr>
            <w:r>
              <w:t>Q8</w:t>
            </w:r>
          </w:p>
        </w:tc>
        <w:tc>
          <w:tcPr>
            <w:tcW w:type="dxa" w:w="3360"/>
            <w:tcW w:w="7488" w:type="dxa"/>
            <w:vAlign w:val="top"/>
          </w:tcPr>
          <w:p>
            <w:pPr>
              <w:spacing w:after="60"/>
            </w:pPr>
            <w:r>
              <w:t>The case was a positive learning experience.</w:t>
            </w:r>
          </w:p>
        </w:tc>
        <w:tc>
          <w:tcPr>
            <w:tcW w:type="dxa" w:w="3360"/>
            <w:tcW w:w="2232" w:type="dxa"/>
            <w:vAlign w:val="top"/>
          </w:tcPr>
          <w:p>
            <w:pPr>
              <w:spacing w:after="60"/>
              <w:jc w:val="center"/>
            </w:pPr>
            <w:r>
              <w:t>1   2   3   4   5   6   7</w:t>
            </w:r>
          </w:p>
        </w:tc>
      </w:tr>
      <w:tr>
        <w:tc>
          <w:tcPr>
            <w:tcW w:type="dxa" w:w="3360"/>
            <w:tcW w:w="792" w:type="dxa"/>
            <w:vAlign w:val="top"/>
          </w:tcPr>
          <w:p>
            <w:pPr>
              <w:spacing w:after="60"/>
            </w:pPr>
            <w:r>
              <w:t>Q9</w:t>
            </w:r>
          </w:p>
        </w:tc>
        <w:tc>
          <w:tcPr>
            <w:tcW w:type="dxa" w:w="3360"/>
            <w:tcW w:w="7488" w:type="dxa"/>
            <w:vAlign w:val="top"/>
          </w:tcPr>
          <w:p>
            <w:pPr>
              <w:spacing w:after="60"/>
            </w:pPr>
            <w:r>
              <w:t>The case was an interesting assignment.</w:t>
            </w:r>
          </w:p>
        </w:tc>
        <w:tc>
          <w:tcPr>
            <w:tcW w:type="dxa" w:w="3360"/>
            <w:tcW w:w="2232" w:type="dxa"/>
            <w:vAlign w:val="top"/>
          </w:tcPr>
          <w:p>
            <w:pPr>
              <w:spacing w:after="60"/>
              <w:jc w:val="center"/>
            </w:pPr>
            <w:r>
              <w:t>1   2   3   4   5   6   7</w:t>
            </w:r>
          </w:p>
        </w:tc>
      </w:tr>
      <w:tr>
        <w:tc>
          <w:tcPr>
            <w:tcW w:type="dxa" w:w="3360"/>
            <w:tcW w:w="792" w:type="dxa"/>
            <w:vAlign w:val="top"/>
          </w:tcPr>
          <w:p>
            <w:pPr>
              <w:spacing w:after="60"/>
            </w:pPr>
            <w:r>
              <w:t>Q10</w:t>
            </w:r>
          </w:p>
        </w:tc>
        <w:tc>
          <w:tcPr>
            <w:tcW w:type="dxa" w:w="3360"/>
            <w:tcW w:w="7488" w:type="dxa"/>
            <w:vAlign w:val="top"/>
          </w:tcPr>
          <w:p>
            <w:pPr>
              <w:spacing w:after="60"/>
            </w:pPr>
            <w:r>
              <w:t>I recommend continuing to use this case with accounting students.</w:t>
            </w:r>
          </w:p>
        </w:tc>
        <w:tc>
          <w:tcPr>
            <w:tcW w:type="dxa" w:w="3360"/>
            <w:tcW w:w="2232" w:type="dxa"/>
            <w:vAlign w:val="top"/>
          </w:tcPr>
          <w:p>
            <w:pPr>
              <w:spacing w:after="60"/>
              <w:jc w:val="center"/>
            </w:pPr>
            <w:r>
              <w:t>1   2   3   4   5   6   7</w:t>
            </w:r>
          </w:p>
        </w:tc>
      </w:tr>
    </w:tbl>
    <w:p/>
    <w:p>
      <w:pPr>
        <w:pStyle w:val="Heading2"/>
      </w:pPr>
      <w:r>
        <w:t>Open-Ended Questions</w:t>
      </w:r>
    </w:p>
    <w:p>
      <w:r>
        <w:t>What was the most useful part of the case?</w:t>
      </w:r>
    </w:p>
    <w:p>
      <w:r>
        <w:t>_________________________________________________________________________________________________________</w:t>
      </w:r>
    </w:p>
    <w:p>
      <w:r>
        <w:t>_________________________________________________________________________________________________________</w:t>
      </w:r>
    </w:p>
    <w:p>
      <w:r>
        <w:t>_________________________________________________________________________________________________________</w:t>
      </w:r>
    </w:p>
    <w:p>
      <w:r>
        <w:t>What change would improve the case for future students?</w:t>
      </w:r>
    </w:p>
    <w:p>
      <w:r>
        <w:t>_________________________________________________________________________________________________________</w:t>
      </w:r>
    </w:p>
    <w:p>
      <w:r>
        <w:t>_________________________________________________________________________________________________________</w:t>
      </w:r>
    </w:p>
    <w:p>
      <w:r>
        <w:t>_________________________________________________________________________________________________________</w:t>
      </w:r>
    </w:p>
    <w:p>
      <w:r>
        <w:t>Optional: Is there anything else you would like the researchers to know about the case?</w:t>
      </w:r>
    </w:p>
    <w:p>
      <w:r>
        <w:t>_________________________________________________________________________________________________________</w:t>
      </w:r>
    </w:p>
    <w:p>
      <w:r>
        <w:t>_________________________________________________________________________________________________________</w:t>
      </w:r>
    </w:p>
    <w:p>
      <w:r>
        <w:t>_________________________________________________________________________________________________________</w:t>
      </w:r>
    </w:p>
    <w:p>
      <w:pPr>
        <w:pStyle w:val="Heading1"/>
      </w:pPr>
      <w:r>
        <w:t>C. Student Exercise Packet</w:t>
      </w:r>
    </w:p>
    <w:tbl>
      <w:tblPr>
        <w:tblStyle w:val="TableGrid"/>
        <w:tblW w:type="auto" w:w="0"/>
        <w:tblLook w:firstColumn="1" w:firstRow="1" w:lastColumn="0" w:lastRow="0" w:noHBand="0" w:noVBand="1" w:val="04A0"/>
      </w:tblPr>
      <w:tblGrid>
        <w:gridCol w:w="10080"/>
      </w:tblGrid>
      <w:tr>
        <w:tc>
          <w:tcPr>
            <w:tcW w:type="dxa" w:w="10080"/>
            <w:shd w:fill="F2F2F2"/>
            <w:vAlign w:val="top"/>
          </w:tcPr>
          <w:p>
            <w:pPr>
              <w:spacing w:after="60"/>
            </w:pPr>
            <w:r>
              <w:rPr>
                <w:b/>
              </w:rPr>
              <w:t>Important Limitation</w:t>
            </w:r>
            <w:r>
              <w:br/>
              <w:t>This exercise is restricted to the sandboxed classroom website. Do not use automation techniques on real ticketing websites, commercial platforms, or systems that you do not own or have explicit written permission to test. The purpose is to understand IT audit risk in a controlled environment, not to conduct unauthorized automation.</w:t>
            </w:r>
          </w:p>
        </w:tc>
      </w:tr>
    </w:tbl>
    <w:p/>
    <w:p>
      <w:pPr>
        <w:pStyle w:val="Heading2"/>
      </w:pPr>
      <w:r>
        <w:t>Exercise 1: Ticket-Drop Observation Sheet</w:t>
      </w:r>
    </w:p>
    <w:p>
      <w:r>
        <w:t>Complete this sheet after each ticket drop. The objective is to observe transaction speed, system behavior, and any error or warning messages.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top"/>
          </w:tcPr>
          <w:p>
            <w:pPr>
              <w:spacing w:after="60"/>
            </w:pPr>
            <w:r>
              <w:t>Event</w:t>
            </w:r>
          </w:p>
        </w:tc>
        <w:tc>
          <w:tcPr>
            <w:tcW w:type="dxa" w:w="2520"/>
            <w:shd w:fill="D9EAF7"/>
            <w:vAlign w:val="top"/>
          </w:tcPr>
          <w:p>
            <w:pPr>
              <w:spacing w:after="60"/>
            </w:pPr>
            <w:r>
              <w:t>Ticket Purchased?</w:t>
            </w:r>
          </w:p>
        </w:tc>
        <w:tc>
          <w:tcPr>
            <w:tcW w:type="dxa" w:w="2520"/>
            <w:shd w:fill="D9EAF7"/>
            <w:vAlign w:val="top"/>
          </w:tcPr>
          <w:p>
            <w:pPr>
              <w:spacing w:after="60"/>
            </w:pPr>
            <w:r>
              <w:t>Amount Spent</w:t>
            </w:r>
          </w:p>
        </w:tc>
        <w:tc>
          <w:tcPr>
            <w:tcW w:type="dxa" w:w="2520"/>
            <w:shd w:fill="D9EAF7"/>
            <w:vAlign w:val="top"/>
          </w:tcPr>
          <w:p>
            <w:pPr>
              <w:spacing w:after="60"/>
            </w:pPr>
            <w:r>
              <w:t>Notes on Strategy or Error Messages</w:t>
            </w:r>
          </w:p>
        </w:tc>
      </w:tr>
      <w:tr>
        <w:tc>
          <w:tcPr>
            <w:tcW w:type="dxa" w:w="2520"/>
            <w:vAlign w:val="top"/>
          </w:tcPr>
          <w:p>
            <w:pPr>
              <w:spacing w:after="60"/>
            </w:pPr>
            <w:r>
              <w:t>Event 1</w:t>
            </w:r>
          </w:p>
        </w:tc>
        <w:tc>
          <w:tcPr>
            <w:tcW w:type="dxa" w:w="2520"/>
            <w:vAlign w:val="top"/>
          </w:tcPr>
          <w:p>
            <w:pPr>
              <w:spacing w:after="60"/>
            </w:pPr>
          </w:p>
        </w:tc>
        <w:tc>
          <w:tcPr>
            <w:tcW w:type="dxa" w:w="2520"/>
            <w:vAlign w:val="top"/>
          </w:tcPr>
          <w:p>
            <w:pPr>
              <w:spacing w:after="60"/>
            </w:pPr>
          </w:p>
        </w:tc>
        <w:tc>
          <w:tcPr>
            <w:tcW w:type="dxa" w:w="2520"/>
            <w:vAlign w:val="top"/>
          </w:tcPr>
          <w:p>
            <w:pPr>
              <w:spacing w:after="60"/>
            </w:pPr>
          </w:p>
        </w:tc>
      </w:tr>
      <w:tr>
        <w:tc>
          <w:tcPr>
            <w:tcW w:type="dxa" w:w="2520"/>
            <w:vAlign w:val="top"/>
          </w:tcPr>
          <w:p>
            <w:pPr>
              <w:spacing w:after="60"/>
            </w:pPr>
            <w:r>
              <w:t>Event 2</w:t>
            </w:r>
          </w:p>
        </w:tc>
        <w:tc>
          <w:tcPr>
            <w:tcW w:type="dxa" w:w="2520"/>
            <w:vAlign w:val="top"/>
          </w:tcPr>
          <w:p>
            <w:pPr>
              <w:spacing w:after="60"/>
            </w:pPr>
          </w:p>
        </w:tc>
        <w:tc>
          <w:tcPr>
            <w:tcW w:type="dxa" w:w="2520"/>
            <w:vAlign w:val="top"/>
          </w:tcPr>
          <w:p>
            <w:pPr>
              <w:spacing w:after="60"/>
            </w:pPr>
          </w:p>
        </w:tc>
        <w:tc>
          <w:tcPr>
            <w:tcW w:type="dxa" w:w="2520"/>
            <w:vAlign w:val="top"/>
          </w:tcPr>
          <w:p>
            <w:pPr>
              <w:spacing w:after="60"/>
            </w:pPr>
          </w:p>
        </w:tc>
      </w:tr>
      <w:tr>
        <w:tc>
          <w:tcPr>
            <w:tcW w:type="dxa" w:w="2520"/>
            <w:vAlign w:val="top"/>
          </w:tcPr>
          <w:p>
            <w:pPr>
              <w:spacing w:after="60"/>
            </w:pPr>
            <w:r>
              <w:t>Event 3</w:t>
            </w:r>
          </w:p>
        </w:tc>
        <w:tc>
          <w:tcPr>
            <w:tcW w:type="dxa" w:w="2520"/>
            <w:vAlign w:val="top"/>
          </w:tcPr>
          <w:p>
            <w:pPr>
              <w:spacing w:after="60"/>
            </w:pPr>
          </w:p>
        </w:tc>
        <w:tc>
          <w:tcPr>
            <w:tcW w:type="dxa" w:w="2520"/>
            <w:vAlign w:val="top"/>
          </w:tcPr>
          <w:p>
            <w:pPr>
              <w:spacing w:after="60"/>
            </w:pPr>
          </w:p>
        </w:tc>
        <w:tc>
          <w:tcPr>
            <w:tcW w:type="dxa" w:w="2520"/>
            <w:vAlign w:val="top"/>
          </w:tcPr>
          <w:p>
            <w:pPr>
              <w:spacing w:after="60"/>
            </w:pPr>
          </w:p>
        </w:tc>
      </w:tr>
    </w:tbl>
    <w:p>
      <w:pPr>
        <w:pStyle w:val="Heading2"/>
      </w:pPr>
      <w:r>
        <w:t>Exercise 2: DOM Discovery Worksheet</w:t>
      </w:r>
    </w:p>
    <w:p>
      <w:r>
        <w:t>Use browser developer tools to identify the webpage elements that support the transaction process.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vAlign w:val="top"/>
          </w:tcPr>
          <w:p>
            <w:pPr>
              <w:spacing w:after="60"/>
            </w:pPr>
            <w:r>
              <w:t>Page or Function</w:t>
            </w:r>
          </w:p>
        </w:tc>
        <w:tc>
          <w:tcPr>
            <w:tcW w:type="dxa" w:w="2016"/>
            <w:shd w:fill="D9EAF7"/>
            <w:vAlign w:val="top"/>
          </w:tcPr>
          <w:p>
            <w:pPr>
              <w:spacing w:after="60"/>
            </w:pPr>
            <w:r>
              <w:t>DOM Element Identified</w:t>
            </w:r>
          </w:p>
        </w:tc>
        <w:tc>
          <w:tcPr>
            <w:tcW w:type="dxa" w:w="2016"/>
            <w:shd w:fill="D9EAF7"/>
            <w:vAlign w:val="top"/>
          </w:tcPr>
          <w:p>
            <w:pPr>
              <w:spacing w:after="60"/>
            </w:pPr>
            <w:r>
              <w:t>HTML ID/Class/Selector</w:t>
            </w:r>
          </w:p>
        </w:tc>
        <w:tc>
          <w:tcPr>
            <w:tcW w:type="dxa" w:w="2016"/>
            <w:shd w:fill="D9EAF7"/>
            <w:vAlign w:val="top"/>
          </w:tcPr>
          <w:p>
            <w:pPr>
              <w:spacing w:after="60"/>
            </w:pPr>
            <w:r>
              <w:t>Business Purpose</w:t>
            </w:r>
          </w:p>
        </w:tc>
        <w:tc>
          <w:tcPr>
            <w:tcW w:type="dxa" w:w="2016"/>
            <w:shd w:fill="D9EAF7"/>
            <w:vAlign w:val="top"/>
          </w:tcPr>
          <w:p>
            <w:pPr>
              <w:spacing w:after="60"/>
            </w:pPr>
            <w:r>
              <w:t>Audit Relevance</w:t>
            </w:r>
          </w:p>
        </w:tc>
      </w:tr>
      <w:tr>
        <w:tc>
          <w:tcPr>
            <w:tcW w:type="dxa" w:w="2016"/>
            <w:vAlign w:val="top"/>
          </w:tcPr>
          <w:p>
            <w:pPr>
              <w:spacing w:after="60"/>
            </w:pPr>
            <w:r>
              <w:t>Search bar</w:t>
            </w:r>
          </w:p>
        </w:tc>
        <w:tc>
          <w:tcPr>
            <w:tcW w:type="dxa" w:w="2016"/>
            <w:vAlign w:val="top"/>
          </w:tcPr>
          <w:p>
            <w:pPr>
              <w:spacing w:after="60"/>
            </w:pPr>
            <w:r/>
          </w:p>
        </w:tc>
        <w:tc>
          <w:tcPr>
            <w:tcW w:type="dxa" w:w="2016"/>
            <w:vAlign w:val="top"/>
          </w:tcPr>
          <w:p>
            <w:pPr>
              <w:spacing w:after="60"/>
            </w:pPr>
            <w:r/>
          </w:p>
        </w:tc>
        <w:tc>
          <w:tcPr>
            <w:tcW w:type="dxa" w:w="2016"/>
            <w:vAlign w:val="top"/>
          </w:tcPr>
          <w:p>
            <w:pPr>
              <w:spacing w:after="60"/>
            </w:pPr>
            <w:r>
              <w:t>User searches for event</w:t>
            </w:r>
          </w:p>
        </w:tc>
        <w:tc>
          <w:tcPr>
            <w:tcW w:type="dxa" w:w="2016"/>
            <w:vAlign w:val="top"/>
          </w:tcPr>
          <w:p>
            <w:pPr>
              <w:spacing w:after="60"/>
            </w:pPr>
            <w:r>
              <w:t>Initiates transaction flow</w:t>
            </w:r>
          </w:p>
        </w:tc>
      </w:tr>
      <w:tr>
        <w:tc>
          <w:tcPr>
            <w:tcW w:type="dxa" w:w="2016"/>
            <w:vAlign w:val="top"/>
          </w:tcPr>
          <w:p>
            <w:pPr>
              <w:spacing w:after="60"/>
            </w:pPr>
            <w:r>
              <w:t>Search button</w:t>
            </w:r>
          </w:p>
        </w:tc>
        <w:tc>
          <w:tcPr>
            <w:tcW w:type="dxa" w:w="2016"/>
            <w:vAlign w:val="top"/>
          </w:tcPr>
          <w:p>
            <w:pPr>
              <w:spacing w:after="60"/>
            </w:pPr>
            <w:r/>
          </w:p>
        </w:tc>
        <w:tc>
          <w:tcPr>
            <w:tcW w:type="dxa" w:w="2016"/>
            <w:vAlign w:val="top"/>
          </w:tcPr>
          <w:p>
            <w:pPr>
              <w:spacing w:after="60"/>
            </w:pPr>
            <w:r/>
          </w:p>
        </w:tc>
        <w:tc>
          <w:tcPr>
            <w:tcW w:type="dxa" w:w="2016"/>
            <w:vAlign w:val="top"/>
          </w:tcPr>
          <w:p>
            <w:pPr>
              <w:spacing w:after="60"/>
            </w:pPr>
            <w:r>
              <w:t>Submits search</w:t>
            </w:r>
          </w:p>
        </w:tc>
        <w:tc>
          <w:tcPr>
            <w:tcW w:type="dxa" w:w="2016"/>
            <w:vAlign w:val="top"/>
          </w:tcPr>
          <w:p>
            <w:pPr>
              <w:spacing w:after="60"/>
            </w:pPr>
            <w:r>
              <w:t>May be automated</w:t>
            </w:r>
          </w:p>
        </w:tc>
      </w:tr>
      <w:tr>
        <w:tc>
          <w:tcPr>
            <w:tcW w:type="dxa" w:w="2016"/>
            <w:vAlign w:val="top"/>
          </w:tcPr>
          <w:p>
            <w:pPr>
              <w:spacing w:after="60"/>
            </w:pPr>
            <w:r>
              <w:t>Event card</w:t>
            </w:r>
          </w:p>
        </w:tc>
        <w:tc>
          <w:tcPr>
            <w:tcW w:type="dxa" w:w="2016"/>
            <w:vAlign w:val="top"/>
          </w:tcPr>
          <w:p>
            <w:pPr>
              <w:spacing w:after="60"/>
            </w:pPr>
            <w:r/>
          </w:p>
        </w:tc>
        <w:tc>
          <w:tcPr>
            <w:tcW w:type="dxa" w:w="2016"/>
            <w:vAlign w:val="top"/>
          </w:tcPr>
          <w:p>
            <w:pPr>
              <w:spacing w:after="60"/>
            </w:pPr>
            <w:r/>
          </w:p>
        </w:tc>
        <w:tc>
          <w:tcPr>
            <w:tcW w:type="dxa" w:w="2016"/>
            <w:vAlign w:val="top"/>
          </w:tcPr>
          <w:p>
            <w:pPr>
              <w:spacing w:after="60"/>
            </w:pPr>
            <w:r>
              <w:t>Displays available event</w:t>
            </w:r>
          </w:p>
        </w:tc>
        <w:tc>
          <w:tcPr>
            <w:tcW w:type="dxa" w:w="2016"/>
            <w:vAlign w:val="top"/>
          </w:tcPr>
          <w:p>
            <w:pPr>
              <w:spacing w:after="60"/>
            </w:pPr>
            <w:r>
              <w:t>Shows inventory and event data</w:t>
            </w:r>
          </w:p>
        </w:tc>
      </w:tr>
      <w:tr>
        <w:tc>
          <w:tcPr>
            <w:tcW w:type="dxa" w:w="2016"/>
            <w:vAlign w:val="top"/>
          </w:tcPr>
          <w:p>
            <w:pPr>
              <w:spacing w:after="60"/>
            </w:pPr>
            <w:r>
              <w:t>Ticket quantity field</w:t>
            </w:r>
          </w:p>
        </w:tc>
        <w:tc>
          <w:tcPr>
            <w:tcW w:type="dxa" w:w="2016"/>
            <w:vAlign w:val="top"/>
          </w:tcPr>
          <w:p>
            <w:pPr>
              <w:spacing w:after="60"/>
            </w:pPr>
            <w:r/>
          </w:p>
        </w:tc>
        <w:tc>
          <w:tcPr>
            <w:tcW w:type="dxa" w:w="2016"/>
            <w:vAlign w:val="top"/>
          </w:tcPr>
          <w:p>
            <w:pPr>
              <w:spacing w:after="60"/>
            </w:pPr>
            <w:r/>
          </w:p>
        </w:tc>
        <w:tc>
          <w:tcPr>
            <w:tcW w:type="dxa" w:w="2016"/>
            <w:vAlign w:val="top"/>
          </w:tcPr>
          <w:p>
            <w:pPr>
              <w:spacing w:after="60"/>
            </w:pPr>
            <w:r>
              <w:t>Selects number of tickets</w:t>
            </w:r>
          </w:p>
        </w:tc>
        <w:tc>
          <w:tcPr>
            <w:tcW w:type="dxa" w:w="2016"/>
            <w:vAlign w:val="top"/>
          </w:tcPr>
          <w:p>
            <w:pPr>
              <w:spacing w:after="60"/>
            </w:pPr>
            <w:r>
              <w:t>Relevant to purchase-limit control</w:t>
            </w:r>
          </w:p>
        </w:tc>
      </w:tr>
      <w:tr>
        <w:tc>
          <w:tcPr>
            <w:tcW w:type="dxa" w:w="2016"/>
            <w:vAlign w:val="top"/>
          </w:tcPr>
          <w:p>
            <w:pPr>
              <w:spacing w:after="60"/>
            </w:pPr>
            <w:r>
              <w:t>Purchase button</w:t>
            </w:r>
          </w:p>
        </w:tc>
        <w:tc>
          <w:tcPr>
            <w:tcW w:type="dxa" w:w="2016"/>
            <w:vAlign w:val="top"/>
          </w:tcPr>
          <w:p>
            <w:pPr>
              <w:spacing w:after="60"/>
            </w:pPr>
            <w:r/>
          </w:p>
        </w:tc>
        <w:tc>
          <w:tcPr>
            <w:tcW w:type="dxa" w:w="2016"/>
            <w:vAlign w:val="top"/>
          </w:tcPr>
          <w:p>
            <w:pPr>
              <w:spacing w:after="60"/>
            </w:pPr>
            <w:r/>
          </w:p>
        </w:tc>
        <w:tc>
          <w:tcPr>
            <w:tcW w:type="dxa" w:w="2016"/>
            <w:vAlign w:val="top"/>
          </w:tcPr>
          <w:p>
            <w:pPr>
              <w:spacing w:after="60"/>
            </w:pPr>
            <w:r>
              <w:t>Completes purchase</w:t>
            </w:r>
          </w:p>
        </w:tc>
        <w:tc>
          <w:tcPr>
            <w:tcW w:type="dxa" w:w="2016"/>
            <w:vAlign w:val="top"/>
          </w:tcPr>
          <w:p>
            <w:pPr>
              <w:spacing w:after="60"/>
            </w:pPr>
            <w:r>
              <w:t>Main transaction trigger</w:t>
            </w:r>
          </w:p>
        </w:tc>
      </w:tr>
      <w:tr>
        <w:tc>
          <w:tcPr>
            <w:tcW w:type="dxa" w:w="2016"/>
            <w:vAlign w:val="top"/>
          </w:tcPr>
          <w:p>
            <w:pPr>
              <w:spacing w:after="60"/>
            </w:pPr>
            <w:r>
              <w:t>Confirmation message</w:t>
            </w:r>
          </w:p>
        </w:tc>
        <w:tc>
          <w:tcPr>
            <w:tcW w:type="dxa" w:w="2016"/>
            <w:vAlign w:val="top"/>
          </w:tcPr>
          <w:p>
            <w:pPr>
              <w:spacing w:after="60"/>
            </w:pPr>
            <w:r/>
          </w:p>
        </w:tc>
        <w:tc>
          <w:tcPr>
            <w:tcW w:type="dxa" w:w="2016"/>
            <w:vAlign w:val="top"/>
          </w:tcPr>
          <w:p>
            <w:pPr>
              <w:spacing w:after="60"/>
            </w:pPr>
            <w:r/>
          </w:p>
        </w:tc>
        <w:tc>
          <w:tcPr>
            <w:tcW w:type="dxa" w:w="2016"/>
            <w:vAlign w:val="top"/>
          </w:tcPr>
          <w:p>
            <w:pPr>
              <w:spacing w:after="60"/>
            </w:pPr>
            <w:r>
              <w:t>Shows purchase result</w:t>
            </w:r>
          </w:p>
        </w:tc>
        <w:tc>
          <w:tcPr>
            <w:tcW w:type="dxa" w:w="2016"/>
            <w:vAlign w:val="top"/>
          </w:tcPr>
          <w:p>
            <w:pPr>
              <w:spacing w:after="60"/>
            </w:pPr>
            <w:r>
              <w:t>Evidence of transaction processing</w:t>
            </w:r>
          </w:p>
        </w:tc>
      </w:tr>
      <w:tr>
        <w:tc>
          <w:tcPr>
            <w:tcW w:type="dxa" w:w="2016"/>
            <w:vAlign w:val="top"/>
          </w:tcPr>
          <w:p>
            <w:pPr>
              <w:spacing w:after="60"/>
            </w:pPr>
            <w:r>
              <w:t>Error or warning message</w:t>
            </w:r>
          </w:p>
        </w:tc>
        <w:tc>
          <w:tcPr>
            <w:tcW w:type="dxa" w:w="2016"/>
            <w:vAlign w:val="top"/>
          </w:tcPr>
          <w:p>
            <w:pPr>
              <w:spacing w:after="60"/>
            </w:pPr>
            <w:r/>
          </w:p>
        </w:tc>
        <w:tc>
          <w:tcPr>
            <w:tcW w:type="dxa" w:w="2016"/>
            <w:vAlign w:val="top"/>
          </w:tcPr>
          <w:p>
            <w:pPr>
              <w:spacing w:after="60"/>
            </w:pPr>
            <w:r/>
          </w:p>
        </w:tc>
        <w:tc>
          <w:tcPr>
            <w:tcW w:type="dxa" w:w="2016"/>
            <w:vAlign w:val="top"/>
          </w:tcPr>
          <w:p>
            <w:pPr>
              <w:spacing w:after="60"/>
            </w:pPr>
            <w:r>
              <w:t>Blocks invalid behavior</w:t>
            </w:r>
          </w:p>
        </w:tc>
        <w:tc>
          <w:tcPr>
            <w:tcW w:type="dxa" w:w="2016"/>
            <w:vAlign w:val="top"/>
          </w:tcPr>
          <w:p>
            <w:pPr>
              <w:spacing w:after="60"/>
            </w:pPr>
            <w:r>
              <w:t>Evidence of preventive control</w:t>
            </w:r>
          </w:p>
        </w:tc>
      </w:tr>
      <w:tr>
        <w:tc>
          <w:tcPr>
            <w:tcW w:type="dxa" w:w="2016"/>
            <w:vAlign w:val="top"/>
          </w:tcPr>
          <w:p>
            <w:pPr>
              <w:spacing w:after="60"/>
            </w:pPr>
            <w:r>
              <w:t>Admin-only feature, if any</w:t>
            </w:r>
          </w:p>
        </w:tc>
        <w:tc>
          <w:tcPr>
            <w:tcW w:type="dxa" w:w="2016"/>
            <w:vAlign w:val="top"/>
          </w:tcPr>
          <w:p>
            <w:pPr>
              <w:spacing w:after="60"/>
            </w:pPr>
            <w:r/>
          </w:p>
        </w:tc>
        <w:tc>
          <w:tcPr>
            <w:tcW w:type="dxa" w:w="2016"/>
            <w:vAlign w:val="top"/>
          </w:tcPr>
          <w:p>
            <w:pPr>
              <w:spacing w:after="60"/>
            </w:pPr>
            <w:r/>
          </w:p>
        </w:tc>
        <w:tc>
          <w:tcPr>
            <w:tcW w:type="dxa" w:w="2016"/>
            <w:vAlign w:val="top"/>
          </w:tcPr>
          <w:p>
            <w:pPr>
              <w:spacing w:after="60"/>
            </w:pPr>
            <w:r>
              <w:t>Restricted function</w:t>
            </w:r>
          </w:p>
        </w:tc>
        <w:tc>
          <w:tcPr>
            <w:tcW w:type="dxa" w:w="2016"/>
            <w:vAlign w:val="top"/>
          </w:tcPr>
          <w:p>
            <w:pPr>
              <w:spacing w:after="60"/>
            </w:pPr>
            <w:r>
              <w:t>Relevant to access control</w:t>
            </w:r>
          </w:p>
        </w:tc>
      </w:tr>
    </w:tbl>
    <w:p>
      <w:r>
        <w:t>Short process narrative:</w:t>
      </w:r>
    </w:p>
    <w:p>
      <w:r>
        <w:t>A user begins by ________________________________________________________________.</w:t>
      </w:r>
    </w:p>
    <w:p>
      <w:r>
        <w:t>The system then ________________________________________________________________.</w:t>
      </w:r>
    </w:p>
    <w:p>
      <w:r>
        <w:t>A ticket purchase is completed when ____________________________________________.</w:t>
      </w:r>
    </w:p>
    <w:p>
      <w:r>
        <w:t>The main DOM elements involved in the transaction are ____________________________.</w:t>
      </w:r>
    </w:p>
    <w:p>
      <w:pPr>
        <w:pStyle w:val="Heading2"/>
      </w:pPr>
      <w:r>
        <w:t>Exercise 3: Controlled Automation Observation Sheet</w:t>
      </w:r>
    </w:p>
    <w:p>
      <w:r>
        <w:t>Complete this sheet after observing the controlled automation demonstration in the sandboxed classroom website.</w:t>
      </w:r>
    </w:p>
    <w:tbl>
      <w:tblPr>
        <w:tblStyle w:val="TableGrid"/>
        <w:tblW w:type="auto" w:w="0"/>
        <w:tblLook w:firstColumn="1" w:firstRow="1" w:lastColumn="0" w:lastRow="0" w:noHBand="0" w:noVBand="1" w:val="04A0"/>
      </w:tblPr>
      <w:tblGrid>
        <w:gridCol w:w="5040"/>
        <w:gridCol w:w="5040"/>
      </w:tblGrid>
      <w:tr>
        <w:tc>
          <w:tcPr>
            <w:tcW w:type="dxa" w:w="5040"/>
            <w:shd w:fill="D9EAF7"/>
            <w:vAlign w:val="top"/>
          </w:tcPr>
          <w:p>
            <w:pPr>
              <w:spacing w:after="60"/>
            </w:pPr>
            <w:r>
              <w:t>Question</w:t>
            </w:r>
          </w:p>
        </w:tc>
        <w:tc>
          <w:tcPr>
            <w:tcW w:type="dxa" w:w="5040"/>
            <w:shd w:fill="D9EAF7"/>
            <w:vAlign w:val="top"/>
          </w:tcPr>
          <w:p>
            <w:pPr>
              <w:spacing w:after="60"/>
            </w:pPr>
            <w:r>
              <w:t>Response</w:t>
            </w:r>
          </w:p>
        </w:tc>
      </w:tr>
      <w:tr>
        <w:tc>
          <w:tcPr>
            <w:tcW w:type="dxa" w:w="5040"/>
            <w:vAlign w:val="top"/>
          </w:tcPr>
          <w:p>
            <w:pPr>
              <w:spacing w:after="60"/>
            </w:pPr>
            <w:r>
              <w:t>What did the script attempt to do?</w:t>
            </w:r>
          </w:p>
        </w:tc>
        <w:tc>
          <w:tcPr>
            <w:tcW w:type="dxa" w:w="5040"/>
            <w:vAlign w:val="top"/>
          </w:tcPr>
          <w:p>
            <w:pPr>
              <w:spacing w:after="60"/>
            </w:pPr>
          </w:p>
        </w:tc>
      </w:tr>
      <w:tr>
        <w:tc>
          <w:tcPr>
            <w:tcW w:type="dxa" w:w="5040"/>
            <w:vAlign w:val="top"/>
          </w:tcPr>
          <w:p>
            <w:pPr>
              <w:spacing w:after="60"/>
            </w:pPr>
            <w:r>
              <w:t>Which DOM elements or website endpoints did the script use?</w:t>
            </w:r>
          </w:p>
        </w:tc>
        <w:tc>
          <w:tcPr>
            <w:tcW w:type="dxa" w:w="5040"/>
            <w:vAlign w:val="top"/>
          </w:tcPr>
          <w:p>
            <w:pPr>
              <w:spacing w:after="60"/>
            </w:pPr>
          </w:p>
        </w:tc>
      </w:tr>
      <w:tr>
        <w:tc>
          <w:tcPr>
            <w:tcW w:type="dxa" w:w="5040"/>
            <w:vAlign w:val="top"/>
          </w:tcPr>
          <w:p>
            <w:pPr>
              <w:spacing w:after="60"/>
            </w:pPr>
            <w:r>
              <w:t>What did the script do faster than a human user?</w:t>
            </w:r>
          </w:p>
        </w:tc>
        <w:tc>
          <w:tcPr>
            <w:tcW w:type="dxa" w:w="5040"/>
            <w:vAlign w:val="top"/>
          </w:tcPr>
          <w:p>
            <w:pPr>
              <w:spacing w:after="60"/>
            </w:pPr>
          </w:p>
        </w:tc>
      </w:tr>
      <w:tr>
        <w:tc>
          <w:tcPr>
            <w:tcW w:type="dxa" w:w="5040"/>
            <w:vAlign w:val="top"/>
          </w:tcPr>
          <w:p>
            <w:pPr>
              <w:spacing w:after="60"/>
            </w:pPr>
            <w:r>
              <w:t>Did the system block the automated behavior?</w:t>
            </w:r>
          </w:p>
        </w:tc>
        <w:tc>
          <w:tcPr>
            <w:tcW w:type="dxa" w:w="5040"/>
            <w:vAlign w:val="top"/>
          </w:tcPr>
          <w:p>
            <w:pPr>
              <w:spacing w:after="60"/>
            </w:pPr>
          </w:p>
        </w:tc>
      </w:tr>
      <w:tr>
        <w:tc>
          <w:tcPr>
            <w:tcW w:type="dxa" w:w="5040"/>
            <w:vAlign w:val="top"/>
          </w:tcPr>
          <w:p>
            <w:pPr>
              <w:spacing w:after="60"/>
            </w:pPr>
            <w:r>
              <w:t>Did the system flag the automated behavior?</w:t>
            </w:r>
          </w:p>
        </w:tc>
        <w:tc>
          <w:tcPr>
            <w:tcW w:type="dxa" w:w="5040"/>
            <w:vAlign w:val="top"/>
          </w:tcPr>
          <w:p>
            <w:pPr>
              <w:spacing w:after="60"/>
            </w:pPr>
          </w:p>
        </w:tc>
      </w:tr>
      <w:tr>
        <w:tc>
          <w:tcPr>
            <w:tcW w:type="dxa" w:w="5040"/>
            <w:vAlign w:val="top"/>
          </w:tcPr>
          <w:p>
            <w:pPr>
              <w:spacing w:after="60"/>
            </w:pPr>
            <w:r>
              <w:t>What did AI help generate or explain?</w:t>
            </w:r>
          </w:p>
        </w:tc>
        <w:tc>
          <w:tcPr>
            <w:tcW w:type="dxa" w:w="5040"/>
            <w:vAlign w:val="top"/>
          </w:tcPr>
          <w:p>
            <w:pPr>
              <w:spacing w:after="60"/>
            </w:pPr>
          </w:p>
        </w:tc>
      </w:tr>
      <w:tr>
        <w:tc>
          <w:tcPr>
            <w:tcW w:type="dxa" w:w="5040"/>
            <w:vAlign w:val="top"/>
          </w:tcPr>
          <w:p>
            <w:pPr>
              <w:spacing w:after="60"/>
            </w:pPr>
            <w:r>
              <w:t>What did you still need to understand yourself?</w:t>
            </w:r>
          </w:p>
        </w:tc>
        <w:tc>
          <w:tcPr>
            <w:tcW w:type="dxa" w:w="5040"/>
            <w:vAlign w:val="top"/>
          </w:tcPr>
          <w:p>
            <w:pPr>
              <w:spacing w:after="60"/>
            </w:pPr>
          </w:p>
        </w:tc>
      </w:tr>
    </w:tbl>
    <w:p>
      <w:pPr>
        <w:pStyle w:val="Heading2"/>
      </w:pPr>
      <w:r>
        <w:t>Exercise 4: Internal-Control Review Matrix</w:t>
      </w:r>
    </w:p>
    <w:p>
      <w:r>
        <w:t>Identify control weaknesses from the exercise. Support each weakness with evidence and recommend a preventive or detective control.</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vAlign w:val="top"/>
          </w:tcPr>
          <w:p>
            <w:pPr>
              <w:spacing w:after="60"/>
            </w:pPr>
            <w:r>
              <w:t>Observed Weakness</w:t>
            </w:r>
          </w:p>
        </w:tc>
        <w:tc>
          <w:tcPr>
            <w:tcW w:type="dxa" w:w="2520"/>
            <w:shd w:fill="D9EAF7"/>
            <w:vAlign w:val="top"/>
          </w:tcPr>
          <w:p>
            <w:pPr>
              <w:spacing w:after="60"/>
            </w:pPr>
            <w:r>
              <w:t>Evidence from Exercise or Backend Log</w:t>
            </w:r>
          </w:p>
        </w:tc>
        <w:tc>
          <w:tcPr>
            <w:tcW w:type="dxa" w:w="2520"/>
            <w:shd w:fill="D9EAF7"/>
            <w:vAlign w:val="top"/>
          </w:tcPr>
          <w:p>
            <w:pPr>
              <w:spacing w:after="60"/>
            </w:pPr>
            <w:r>
              <w:t>Recommended Control</w:t>
            </w:r>
          </w:p>
        </w:tc>
        <w:tc>
          <w:tcPr>
            <w:tcW w:type="dxa" w:w="2520"/>
            <w:shd w:fill="D9EAF7"/>
            <w:vAlign w:val="top"/>
          </w:tcPr>
          <w:p>
            <w:pPr>
              <w:spacing w:after="60"/>
            </w:pPr>
            <w:r>
              <w:t>Control Type</w:t>
            </w:r>
          </w:p>
        </w:tc>
      </w:tr>
      <w:tr>
        <w:tc>
          <w:tcPr>
            <w:tcW w:type="dxa" w:w="2520"/>
            <w:vAlign w:val="top"/>
          </w:tcPr>
          <w:p>
            <w:pPr>
              <w:spacing w:after="60"/>
            </w:pPr>
          </w:p>
        </w:tc>
        <w:tc>
          <w:tcPr>
            <w:tcW w:type="dxa" w:w="2520"/>
            <w:vAlign w:val="top"/>
          </w:tcPr>
          <w:p>
            <w:pPr>
              <w:spacing w:after="60"/>
            </w:pPr>
          </w:p>
        </w:tc>
        <w:tc>
          <w:tcPr>
            <w:tcW w:type="dxa" w:w="2520"/>
            <w:vAlign w:val="top"/>
          </w:tcPr>
          <w:p>
            <w:pPr>
              <w:spacing w:after="60"/>
            </w:pPr>
          </w:p>
        </w:tc>
        <w:tc>
          <w:tcPr>
            <w:tcW w:type="dxa" w:w="2520"/>
            <w:vAlign w:val="top"/>
          </w:tcPr>
          <w:p>
            <w:pPr>
              <w:spacing w:after="60"/>
            </w:pPr>
          </w:p>
        </w:tc>
      </w:tr>
      <w:tr>
        <w:tc>
          <w:tcPr>
            <w:tcW w:type="dxa" w:w="2520"/>
            <w:vAlign w:val="top"/>
          </w:tcPr>
          <w:p>
            <w:pPr>
              <w:spacing w:after="60"/>
            </w:pPr>
          </w:p>
        </w:tc>
        <w:tc>
          <w:tcPr>
            <w:tcW w:type="dxa" w:w="2520"/>
            <w:vAlign w:val="top"/>
          </w:tcPr>
          <w:p>
            <w:pPr>
              <w:spacing w:after="60"/>
            </w:pPr>
          </w:p>
        </w:tc>
        <w:tc>
          <w:tcPr>
            <w:tcW w:type="dxa" w:w="2520"/>
            <w:vAlign w:val="top"/>
          </w:tcPr>
          <w:p>
            <w:pPr>
              <w:spacing w:after="60"/>
            </w:pPr>
          </w:p>
        </w:tc>
        <w:tc>
          <w:tcPr>
            <w:tcW w:type="dxa" w:w="2520"/>
            <w:vAlign w:val="top"/>
          </w:tcPr>
          <w:p>
            <w:pPr>
              <w:spacing w:after="60"/>
            </w:pPr>
          </w:p>
        </w:tc>
      </w:tr>
      <w:tr>
        <w:tc>
          <w:tcPr>
            <w:tcW w:type="dxa" w:w="2520"/>
            <w:vAlign w:val="top"/>
          </w:tcPr>
          <w:p>
            <w:pPr>
              <w:spacing w:after="60"/>
            </w:pPr>
          </w:p>
        </w:tc>
        <w:tc>
          <w:tcPr>
            <w:tcW w:type="dxa" w:w="2520"/>
            <w:vAlign w:val="top"/>
          </w:tcPr>
          <w:p>
            <w:pPr>
              <w:spacing w:after="60"/>
            </w:pPr>
          </w:p>
        </w:tc>
        <w:tc>
          <w:tcPr>
            <w:tcW w:type="dxa" w:w="2520"/>
            <w:vAlign w:val="top"/>
          </w:tcPr>
          <w:p>
            <w:pPr>
              <w:spacing w:after="60"/>
            </w:pPr>
          </w:p>
        </w:tc>
        <w:tc>
          <w:tcPr>
            <w:tcW w:type="dxa" w:w="2520"/>
            <w:vAlign w:val="top"/>
          </w:tcPr>
          <w:p>
            <w:pPr>
              <w:spacing w:after="60"/>
            </w:pPr>
          </w:p>
        </w:tc>
      </w:tr>
      <w:tr>
        <w:tc>
          <w:tcPr>
            <w:tcW w:type="dxa" w:w="2520"/>
            <w:vAlign w:val="top"/>
          </w:tcPr>
          <w:p>
            <w:pPr>
              <w:spacing w:after="60"/>
            </w:pPr>
          </w:p>
        </w:tc>
        <w:tc>
          <w:tcPr>
            <w:tcW w:type="dxa" w:w="2520"/>
            <w:vAlign w:val="top"/>
          </w:tcPr>
          <w:p>
            <w:pPr>
              <w:spacing w:after="60"/>
            </w:pPr>
          </w:p>
        </w:tc>
        <w:tc>
          <w:tcPr>
            <w:tcW w:type="dxa" w:w="2520"/>
            <w:vAlign w:val="top"/>
          </w:tcPr>
          <w:p>
            <w:pPr>
              <w:spacing w:after="60"/>
            </w:pPr>
          </w:p>
        </w:tc>
        <w:tc>
          <w:tcPr>
            <w:tcW w:type="dxa" w:w="2520"/>
            <w:vAlign w:val="top"/>
          </w:tcPr>
          <w:p>
            <w:pPr>
              <w:spacing w:after="60"/>
            </w:pPr>
          </w:p>
        </w:tc>
      </w:tr>
      <w:tr>
        <w:tc>
          <w:tcPr>
            <w:tcW w:type="dxa" w:w="2520"/>
            <w:vAlign w:val="top"/>
          </w:tcPr>
          <w:p>
            <w:pPr>
              <w:spacing w:after="60"/>
            </w:pPr>
          </w:p>
        </w:tc>
        <w:tc>
          <w:tcPr>
            <w:tcW w:type="dxa" w:w="2520"/>
            <w:vAlign w:val="top"/>
          </w:tcPr>
          <w:p>
            <w:pPr>
              <w:spacing w:after="60"/>
            </w:pPr>
          </w:p>
        </w:tc>
        <w:tc>
          <w:tcPr>
            <w:tcW w:type="dxa" w:w="2520"/>
            <w:vAlign w:val="top"/>
          </w:tcPr>
          <w:p>
            <w:pPr>
              <w:spacing w:after="60"/>
            </w:pPr>
          </w:p>
        </w:tc>
        <w:tc>
          <w:tcPr>
            <w:tcW w:type="dxa" w:w="2520"/>
            <w:vAlign w:val="top"/>
          </w:tcPr>
          <w:p>
            <w:pPr>
              <w:spacing w:after="60"/>
            </w:pPr>
          </w:p>
        </w:tc>
      </w:tr>
      <w:tr>
        <w:tc>
          <w:tcPr>
            <w:tcW w:type="dxa" w:w="2520"/>
            <w:vAlign w:val="top"/>
          </w:tcPr>
          <w:p>
            <w:pPr>
              <w:spacing w:after="60"/>
            </w:pPr>
          </w:p>
        </w:tc>
        <w:tc>
          <w:tcPr>
            <w:tcW w:type="dxa" w:w="2520"/>
            <w:vAlign w:val="top"/>
          </w:tcPr>
          <w:p>
            <w:pPr>
              <w:spacing w:after="60"/>
            </w:pPr>
          </w:p>
        </w:tc>
        <w:tc>
          <w:tcPr>
            <w:tcW w:type="dxa" w:w="2520"/>
            <w:vAlign w:val="top"/>
          </w:tcPr>
          <w:p>
            <w:pPr>
              <w:spacing w:after="60"/>
            </w:pPr>
          </w:p>
        </w:tc>
        <w:tc>
          <w:tcPr>
            <w:tcW w:type="dxa" w:w="2520"/>
            <w:vAlign w:val="top"/>
          </w:tcPr>
          <w:p>
            <w:pPr>
              <w:spacing w:after="60"/>
            </w:pPr>
          </w:p>
        </w:tc>
      </w:tr>
    </w:tbl>
    <w:p>
      <w:pPr>
        <w:pStyle w:val="Heading2"/>
      </w:pPr>
      <w:r>
        <w:t>Exercise 5: Required Internal-Control Reflection</w:t>
      </w:r>
    </w:p>
    <w:p>
      <w:r>
        <w:t>1. Did you purchase one ticket for each event? If not, what prevented you from doing so?</w:t>
      </w:r>
    </w:p>
    <w:p>
      <w:r>
        <w:t>_________________________________________________________________________________________________________</w:t>
      </w:r>
    </w:p>
    <w:p>
      <w:r>
        <w:t>_________________________________________________________________________________________________________</w:t>
      </w:r>
    </w:p>
    <w:p>
      <w:r>
        <w:t>2. Which DOM elements or page features were most important to the transaction process?</w:t>
      </w:r>
    </w:p>
    <w:p>
      <w:r>
        <w:t>_________________________________________________________________________________________________________</w:t>
      </w:r>
    </w:p>
    <w:p>
      <w:r>
        <w:t>_________________________________________________________________________________________________________</w:t>
      </w:r>
    </w:p>
    <w:p>
      <w:r>
        <w:t>3. Did the system prevent, slow, or flag rapid automated purchasing?</w:t>
      </w:r>
    </w:p>
    <w:p>
      <w:r>
        <w:t>_________________________________________________________________________________________________________</w:t>
      </w:r>
    </w:p>
    <w:p>
      <w:r>
        <w:t>_________________________________________________________________________________________________________</w:t>
      </w:r>
    </w:p>
    <w:p>
      <w:r>
        <w:t>4. What internal-control weakness did the exercise reveal?</w:t>
      </w:r>
    </w:p>
    <w:p>
      <w:r>
        <w:t>_________________________________________________________________________________________________________</w:t>
      </w:r>
    </w:p>
    <w:p>
      <w:r>
        <w:t>_________________________________________________________________________________________________________</w:t>
      </w:r>
    </w:p>
    <w:p>
      <w:r>
        <w:t>5. What preventive control would reduce this weakness in a real ticketing system?</w:t>
      </w:r>
    </w:p>
    <w:p>
      <w:r>
        <w:t>_________________________________________________________________________________________________________</w:t>
      </w:r>
    </w:p>
    <w:p>
      <w:r>
        <w:t>_________________________________________________________________________________________________________</w:t>
      </w:r>
    </w:p>
    <w:p>
      <w:r>
        <w:t>6. What detective control would help management identify this behavior after the ticket drop?</w:t>
      </w:r>
    </w:p>
    <w:p>
      <w:r>
        <w:t>_________________________________________________________________________________________________________</w:t>
      </w:r>
    </w:p>
    <w:p>
      <w:r>
        <w:t>_________________________________________________________________________________________________________</w:t>
      </w:r>
    </w:p>
    <w:p>
      <w:pPr>
        <w:pStyle w:val="Heading1"/>
      </w:pPr>
      <w:r>
        <w:t>D. Optional Instructor Observation Protocol</w:t>
      </w:r>
    </w:p>
    <w:tbl>
      <w:tblPr>
        <w:tblStyle w:val="TableGrid"/>
        <w:tblW w:type="auto" w:w="0"/>
        <w:tblLook w:firstColumn="1" w:firstRow="1" w:lastColumn="0" w:lastRow="0" w:noHBand="0" w:noVBand="1" w:val="04A0"/>
      </w:tblPr>
      <w:tblGrid>
        <w:gridCol w:w="10080"/>
      </w:tblGrid>
      <w:tr>
        <w:tc>
          <w:tcPr>
            <w:tcW w:type="dxa" w:w="10080"/>
            <w:shd w:fill="F2F2F2"/>
            <w:vAlign w:val="top"/>
          </w:tcPr>
          <w:p>
            <w:pPr>
              <w:spacing w:after="60"/>
            </w:pPr>
            <w:r>
              <w:rPr>
                <w:b/>
              </w:rPr>
              <w:t>Use Only if Approved</w:t>
            </w:r>
            <w:r>
              <w:br/>
              <w:t>This protocol should be used for research only if the IRB approves observation data as part of the research dataset. If the research is limited to the hard-copy questionnaire, do not include this protocol in the research data.</w:t>
            </w:r>
          </w:p>
        </w:tc>
      </w:tr>
    </w:tbl>
    <w:p/>
    <w:p>
      <w:r>
        <w:t>Observation setting: Classroom, computer lab, or online instructional environment used for the course. Observations are limited to the educational activity and do not occur in private spaces outside the instructional setting.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vAlign w:val="top"/>
          </w:tcPr>
          <w:p>
            <w:pPr>
              <w:spacing w:after="60"/>
            </w:pPr>
            <w:r>
              <w:t>Observation Area</w:t>
            </w:r>
          </w:p>
        </w:tc>
        <w:tc>
          <w:tcPr>
            <w:tcW w:type="dxa" w:w="2520"/>
            <w:shd w:fill="D9EAF7"/>
            <w:vAlign w:val="top"/>
          </w:tcPr>
          <w:p>
            <w:pPr>
              <w:spacing w:after="60"/>
            </w:pPr>
            <w:r>
              <w:t>Observed?</w:t>
            </w:r>
          </w:p>
        </w:tc>
        <w:tc>
          <w:tcPr>
            <w:tcW w:type="dxa" w:w="2520"/>
            <w:shd w:fill="D9EAF7"/>
            <w:vAlign w:val="top"/>
          </w:tcPr>
          <w:p>
            <w:pPr>
              <w:spacing w:after="60"/>
            </w:pPr>
            <w:r>
              <w:t>Notes</w:t>
            </w:r>
          </w:p>
        </w:tc>
        <w:tc>
          <w:tcPr>
            <w:tcW w:type="dxa" w:w="2520"/>
            <w:shd w:fill="D9EAF7"/>
            <w:vAlign w:val="top"/>
          </w:tcPr>
          <w:p>
            <w:pPr>
              <w:spacing w:after="60"/>
            </w:pPr>
            <w:r>
              <w:t>Do Not Record</w:t>
            </w:r>
          </w:p>
        </w:tc>
      </w:tr>
      <w:tr>
        <w:tc>
          <w:tcPr>
            <w:tcW w:type="dxa" w:w="2520"/>
            <w:vAlign w:val="top"/>
          </w:tcPr>
          <w:p>
            <w:pPr>
              <w:spacing w:after="60"/>
            </w:pPr>
            <w:r>
              <w:t>Students can access the sandboxed website.</w:t>
            </w:r>
          </w:p>
        </w:tc>
        <w:tc>
          <w:tcPr>
            <w:tcW w:type="dxa" w:w="2520"/>
            <w:vAlign w:val="top"/>
          </w:tcPr>
          <w:p>
            <w:pPr>
              <w:spacing w:after="60"/>
            </w:pPr>
            <w:r>
              <w:t>□ Yes  □ No</w:t>
            </w:r>
          </w:p>
        </w:tc>
        <w:tc>
          <w:tcPr>
            <w:tcW w:type="dxa" w:w="2520"/>
            <w:vAlign w:val="top"/>
          </w:tcPr>
          <w:p>
            <w:pPr>
              <w:spacing w:after="60"/>
            </w:pPr>
          </w:p>
        </w:tc>
        <w:tc>
          <w:tcPr>
            <w:tcW w:type="dxa" w:w="2520"/>
            <w:vAlign w:val="top"/>
          </w:tcPr>
          <w:p>
            <w:pPr>
              <w:spacing w:after="60"/>
            </w:pPr>
            <w:r>
              <w:t>Names, IDs, grades, or identifiable behavior</w:t>
            </w:r>
          </w:p>
        </w:tc>
      </w:tr>
      <w:tr>
        <w:tc>
          <w:tcPr>
            <w:tcW w:type="dxa" w:w="2520"/>
            <w:vAlign w:val="top"/>
          </w:tcPr>
          <w:p>
            <w:pPr>
              <w:spacing w:after="60"/>
            </w:pPr>
            <w:r>
              <w:t>Students attempt the manual ticket drop.</w:t>
            </w:r>
          </w:p>
        </w:tc>
        <w:tc>
          <w:tcPr>
            <w:tcW w:type="dxa" w:w="2520"/>
            <w:vAlign w:val="top"/>
          </w:tcPr>
          <w:p>
            <w:pPr>
              <w:spacing w:after="60"/>
            </w:pPr>
            <w:r>
              <w:t>□ Yes  □ No</w:t>
            </w:r>
          </w:p>
        </w:tc>
        <w:tc>
          <w:tcPr>
            <w:tcW w:type="dxa" w:w="2520"/>
            <w:vAlign w:val="top"/>
          </w:tcPr>
          <w:p>
            <w:pPr>
              <w:spacing w:after="60"/>
            </w:pPr>
          </w:p>
        </w:tc>
        <w:tc>
          <w:tcPr>
            <w:tcW w:type="dxa" w:w="2520"/>
            <w:vAlign w:val="top"/>
          </w:tcPr>
          <w:p>
            <w:pPr>
              <w:spacing w:after="60"/>
            </w:pPr>
            <w:r>
              <w:t>Names, IDs, grades, or identifiable behavior</w:t>
            </w:r>
          </w:p>
        </w:tc>
      </w:tr>
      <w:tr>
        <w:tc>
          <w:tcPr>
            <w:tcW w:type="dxa" w:w="2520"/>
            <w:vAlign w:val="top"/>
          </w:tcPr>
          <w:p>
            <w:pPr>
              <w:spacing w:after="60"/>
            </w:pPr>
            <w:r>
              <w:t>Students inspect DOM elements.</w:t>
            </w:r>
          </w:p>
        </w:tc>
        <w:tc>
          <w:tcPr>
            <w:tcW w:type="dxa" w:w="2520"/>
            <w:vAlign w:val="top"/>
          </w:tcPr>
          <w:p>
            <w:pPr>
              <w:spacing w:after="60"/>
            </w:pPr>
            <w:r>
              <w:t>□ Yes  □ No</w:t>
            </w:r>
          </w:p>
        </w:tc>
        <w:tc>
          <w:tcPr>
            <w:tcW w:type="dxa" w:w="2520"/>
            <w:vAlign w:val="top"/>
          </w:tcPr>
          <w:p>
            <w:pPr>
              <w:spacing w:after="60"/>
            </w:pPr>
          </w:p>
        </w:tc>
        <w:tc>
          <w:tcPr>
            <w:tcW w:type="dxa" w:w="2520"/>
            <w:vAlign w:val="top"/>
          </w:tcPr>
          <w:p>
            <w:pPr>
              <w:spacing w:after="60"/>
            </w:pPr>
            <w:r>
              <w:t>Names, IDs, grades, or identifiable behavior</w:t>
            </w:r>
          </w:p>
        </w:tc>
      </w:tr>
      <w:tr>
        <w:tc>
          <w:tcPr>
            <w:tcW w:type="dxa" w:w="2520"/>
            <w:vAlign w:val="top"/>
          </w:tcPr>
          <w:p>
            <w:pPr>
              <w:spacing w:after="60"/>
            </w:pPr>
            <w:r>
              <w:t>Students observe the automation demonstration.</w:t>
            </w:r>
          </w:p>
        </w:tc>
        <w:tc>
          <w:tcPr>
            <w:tcW w:type="dxa" w:w="2520"/>
            <w:vAlign w:val="top"/>
          </w:tcPr>
          <w:p>
            <w:pPr>
              <w:spacing w:after="60"/>
            </w:pPr>
            <w:r>
              <w:t>□ Yes  □ No</w:t>
            </w:r>
          </w:p>
        </w:tc>
        <w:tc>
          <w:tcPr>
            <w:tcW w:type="dxa" w:w="2520"/>
            <w:vAlign w:val="top"/>
          </w:tcPr>
          <w:p>
            <w:pPr>
              <w:spacing w:after="60"/>
            </w:pPr>
          </w:p>
        </w:tc>
        <w:tc>
          <w:tcPr>
            <w:tcW w:type="dxa" w:w="2520"/>
            <w:vAlign w:val="top"/>
          </w:tcPr>
          <w:p>
            <w:pPr>
              <w:spacing w:after="60"/>
            </w:pPr>
            <w:r>
              <w:t>Names, IDs, grades, or identifiable behavior</w:t>
            </w:r>
          </w:p>
        </w:tc>
      </w:tr>
      <w:tr>
        <w:tc>
          <w:tcPr>
            <w:tcW w:type="dxa" w:w="2520"/>
            <w:vAlign w:val="top"/>
          </w:tcPr>
          <w:p>
            <w:pPr>
              <w:spacing w:after="60"/>
            </w:pPr>
            <w:r>
              <w:t>Students discuss preventive and detective controls.</w:t>
            </w:r>
          </w:p>
        </w:tc>
        <w:tc>
          <w:tcPr>
            <w:tcW w:type="dxa" w:w="2520"/>
            <w:vAlign w:val="top"/>
          </w:tcPr>
          <w:p>
            <w:pPr>
              <w:spacing w:after="60"/>
            </w:pPr>
            <w:r>
              <w:t>□ Yes  □ No</w:t>
            </w:r>
          </w:p>
        </w:tc>
        <w:tc>
          <w:tcPr>
            <w:tcW w:type="dxa" w:w="2520"/>
            <w:vAlign w:val="top"/>
          </w:tcPr>
          <w:p>
            <w:pPr>
              <w:spacing w:after="60"/>
            </w:pPr>
          </w:p>
        </w:tc>
        <w:tc>
          <w:tcPr>
            <w:tcW w:type="dxa" w:w="2520"/>
            <w:vAlign w:val="top"/>
          </w:tcPr>
          <w:p>
            <w:pPr>
              <w:spacing w:after="60"/>
            </w:pPr>
            <w:r>
              <w:t>Names, IDs, grades, or identifiable behavior</w:t>
            </w:r>
          </w:p>
        </w:tc>
      </w:tr>
      <w:tr>
        <w:tc>
          <w:tcPr>
            <w:tcW w:type="dxa" w:w="2520"/>
            <w:vAlign w:val="top"/>
          </w:tcPr>
          <w:p>
            <w:pPr>
              <w:spacing w:after="60"/>
            </w:pPr>
            <w:r>
              <w:t>Students complete the hard-copy questionnaire.</w:t>
            </w:r>
          </w:p>
        </w:tc>
        <w:tc>
          <w:tcPr>
            <w:tcW w:type="dxa" w:w="2520"/>
            <w:vAlign w:val="top"/>
          </w:tcPr>
          <w:p>
            <w:pPr>
              <w:spacing w:after="60"/>
            </w:pPr>
            <w:r>
              <w:t>□ Yes  □ No</w:t>
            </w:r>
          </w:p>
        </w:tc>
        <w:tc>
          <w:tcPr>
            <w:tcW w:type="dxa" w:w="2520"/>
            <w:vAlign w:val="top"/>
          </w:tcPr>
          <w:p>
            <w:pPr>
              <w:spacing w:after="60"/>
            </w:pPr>
          </w:p>
        </w:tc>
        <w:tc>
          <w:tcPr>
            <w:tcW w:type="dxa" w:w="2520"/>
            <w:vAlign w:val="top"/>
          </w:tcPr>
          <w:p>
            <w:pPr>
              <w:spacing w:after="60"/>
            </w:pPr>
            <w:r>
              <w:t>Names, IDs, grades, or identifiable behavior</w:t>
            </w:r>
          </w:p>
        </w:tc>
      </w:tr>
    </w:tbl>
    <w:p>
      <w:pPr>
        <w:pStyle w:val="Heading1"/>
      </w:pPr>
      <w:r>
        <w:t>E. Data Analysis Linkage</w:t>
      </w:r>
    </w:p>
    <w:tbl>
      <w:tblPr>
        <w:tblStyle w:val="TableGrid"/>
        <w:tblW w:type="auto" w:w="0"/>
        <w:tblLook w:firstColumn="1" w:firstRow="1" w:lastColumn="0" w:lastRow="0" w:noHBand="0" w:noVBand="1" w:val="04A0"/>
      </w:tblPr>
      <w:tblGrid>
        <w:gridCol w:w="3360"/>
        <w:gridCol w:w="3360"/>
        <w:gridCol w:w="3360"/>
      </w:tblGrid>
      <w:tr>
        <w:tc>
          <w:tcPr>
            <w:tcW w:type="dxa" w:w="3360"/>
            <w:shd w:fill="D9EAF7"/>
            <w:vAlign w:val="top"/>
          </w:tcPr>
          <w:p>
            <w:pPr>
              <w:spacing w:after="60"/>
            </w:pPr>
            <w:r>
              <w:t>Research Aim</w:t>
            </w:r>
          </w:p>
        </w:tc>
        <w:tc>
          <w:tcPr>
            <w:tcW w:type="dxa" w:w="3360"/>
            <w:shd w:fill="D9EAF7"/>
            <w:vAlign w:val="top"/>
          </w:tcPr>
          <w:p>
            <w:pPr>
              <w:spacing w:after="60"/>
            </w:pPr>
            <w:r>
              <w:t>Data Source</w:t>
            </w:r>
          </w:p>
        </w:tc>
        <w:tc>
          <w:tcPr>
            <w:tcW w:type="dxa" w:w="3360"/>
            <w:shd w:fill="D9EAF7"/>
            <w:vAlign w:val="top"/>
          </w:tcPr>
          <w:p>
            <w:pPr>
              <w:spacing w:after="60"/>
            </w:pPr>
            <w:r>
              <w:t>Planned Analysis</w:t>
            </w:r>
          </w:p>
        </w:tc>
      </w:tr>
      <w:tr>
        <w:tc>
          <w:tcPr>
            <w:tcW w:type="dxa" w:w="3360"/>
            <w:vAlign w:val="top"/>
          </w:tcPr>
          <w:p>
            <w:pPr>
              <w:spacing w:after="60"/>
            </w:pPr>
            <w:r>
              <w:t>Evaluate whether students perceive the case as useful for learning IT controls.</w:t>
            </w:r>
          </w:p>
        </w:tc>
        <w:tc>
          <w:tcPr>
            <w:tcW w:type="dxa" w:w="3360"/>
            <w:vAlign w:val="top"/>
          </w:tcPr>
          <w:p>
            <w:pPr>
              <w:spacing w:after="60"/>
            </w:pPr>
            <w:r>
              <w:t>Likert-scale questionnaire items Q1, Q7, Q8, Q10.</w:t>
            </w:r>
          </w:p>
        </w:tc>
        <w:tc>
          <w:tcPr>
            <w:tcW w:type="dxa" w:w="3360"/>
            <w:vAlign w:val="top"/>
          </w:tcPr>
          <w:p>
            <w:pPr>
              <w:spacing w:after="60"/>
            </w:pPr>
            <w:r>
              <w:t>Report means, standard deviations, and response distributions.</w:t>
            </w:r>
          </w:p>
        </w:tc>
      </w:tr>
      <w:tr>
        <w:tc>
          <w:tcPr>
            <w:tcW w:type="dxa" w:w="3360"/>
            <w:vAlign w:val="top"/>
          </w:tcPr>
          <w:p>
            <w:pPr>
              <w:spacing w:after="60"/>
            </w:pPr>
            <w:r>
              <w:t>Evaluate whether students perceive improved understanding of automated transaction risks.</w:t>
            </w:r>
          </w:p>
        </w:tc>
        <w:tc>
          <w:tcPr>
            <w:tcW w:type="dxa" w:w="3360"/>
            <w:vAlign w:val="top"/>
          </w:tcPr>
          <w:p>
            <w:pPr>
              <w:spacing w:after="60"/>
            </w:pPr>
            <w:r>
              <w:t>Likert-scale questionnaire items Q2, Q3, Q6.</w:t>
            </w:r>
          </w:p>
        </w:tc>
        <w:tc>
          <w:tcPr>
            <w:tcW w:type="dxa" w:w="3360"/>
            <w:vAlign w:val="top"/>
          </w:tcPr>
          <w:p>
            <w:pPr>
              <w:spacing w:after="60"/>
            </w:pPr>
            <w:r>
              <w:t>Report descriptive statistics and summarize overall agreement.</w:t>
            </w:r>
          </w:p>
        </w:tc>
      </w:tr>
      <w:tr>
        <w:tc>
          <w:tcPr>
            <w:tcW w:type="dxa" w:w="3360"/>
            <w:vAlign w:val="top"/>
          </w:tcPr>
          <w:p>
            <w:pPr>
              <w:spacing w:after="60"/>
            </w:pPr>
            <w:r>
              <w:t>Evaluate whether students perceive improved technical fluency relevant to IT audit.</w:t>
            </w:r>
          </w:p>
        </w:tc>
        <w:tc>
          <w:tcPr>
            <w:tcW w:type="dxa" w:w="3360"/>
            <w:vAlign w:val="top"/>
          </w:tcPr>
          <w:p>
            <w:pPr>
              <w:spacing w:after="60"/>
            </w:pPr>
            <w:r>
              <w:t>Likert-scale questionnaire items Q4, Q5.</w:t>
            </w:r>
          </w:p>
        </w:tc>
        <w:tc>
          <w:tcPr>
            <w:tcW w:type="dxa" w:w="3360"/>
            <w:vAlign w:val="top"/>
          </w:tcPr>
          <w:p>
            <w:pPr>
              <w:spacing w:after="60"/>
            </w:pPr>
            <w:r>
              <w:t>Report descriptive statistics and summarize overall agreement.</w:t>
            </w:r>
          </w:p>
        </w:tc>
      </w:tr>
      <w:tr>
        <w:tc>
          <w:tcPr>
            <w:tcW w:type="dxa" w:w="3360"/>
            <w:vAlign w:val="top"/>
          </w:tcPr>
          <w:p>
            <w:pPr>
              <w:spacing w:after="60"/>
            </w:pPr>
            <w:r>
              <w:t>Identify strengths and weaknesses of the instructional case.</w:t>
            </w:r>
          </w:p>
        </w:tc>
        <w:tc>
          <w:tcPr>
            <w:tcW w:type="dxa" w:w="3360"/>
            <w:vAlign w:val="top"/>
          </w:tcPr>
          <w:p>
            <w:pPr>
              <w:spacing w:after="60"/>
            </w:pPr>
            <w:r>
              <w:t>Open-ended questions.</w:t>
            </w:r>
          </w:p>
        </w:tc>
        <w:tc>
          <w:tcPr>
            <w:tcW w:type="dxa" w:w="3360"/>
            <w:vAlign w:val="top"/>
          </w:tcPr>
          <w:p>
            <w:pPr>
              <w:spacing w:after="60"/>
            </w:pPr>
            <w:r>
              <w:t>Code responses for recurring themes and representative non-identifying comments.</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