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The Justice Department Called It Consensual and Charged Her Anyway. I Live in That Unit.</w:t>
      </w:r>
    </w:p>
    <w:p>
      <w:pPr>
        <w:shd w:val="clear" w:color="auto" w:fill="DCE6F1"/>
      </w:pPr>
      <w:r>
        <w:rPr>
          <w:b/>
        </w:rPr>
        <w:t xml:space="preserve">Subtitle (email preview text): </w:t>
      </w:r>
      <w:r>
        <w:t>Fourteen years inside. What the law calls impossible happens daily.</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walked into my pickleball game.</w:t>
      </w:r>
    </w:p>
    <w:p>
      <w:r>
        <w:t>Not to supervise.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Then he was taken to the SHU. Months later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which in practice means a unit heavy with sex offenders. They are the ones flagged as vulnerable, because most will not fight to defend themselves.</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went to the SHU. She kept working.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