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before="0" w:after="0"/>
      </w:pPr>
      <w:r>
        <w:rPr>
          <w:rFonts w:ascii="Times New Roman" w:hAnsi="Times New Roman" w:eastAsia="Times New Roman" w:cs="Times New Roman"/>
          <w:color w:val="000000"/>
          <w:sz w:val="24"/>
        </w:rPr>
        <w:t xml:space="preserve">UNITED STATES DISTRICT COURT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WESTERN DISTRICT OF NEW YORK</w:t>
      </w:r>
    </w:p>
    <w:p>
      <w:pPr>
        <w:pStyle w:val="BodyText"/>
        <w:spacing w:line="480" w:lineRule="auto" w:before="0" w:after="0"/>
      </w:pPr>
      <w:r>
        <w:rPr>
          <w:rFonts w:ascii="Times New Roman" w:hAnsi="Times New Roman" w:eastAsia="Times New Roman" w:cs="Times New Roman"/>
          <w:color w:val="000000"/>
          <w:sz w:val="24"/>
        </w:rPr>
        <w:t xml:space="preserve">UNITED STATES OF AMERICA,</w:t>
      </w:r>
    </w:p>
    <w:p>
      <w:pPr>
        <w:pStyle w:val="SourceCode"/>
        <w:spacing w:line="480" w:lineRule="auto" w:before="0" w:after="0"/>
      </w:pPr>
      <w:r>
        <w:rPr>
          <w:rStyle w:val="VerbatimChar"/>
          <w:rFonts w:ascii="Times New Roman" w:hAnsi="Times New Roman" w:eastAsia="Times New Roman" w:cs="Times New Roman"/>
          <w:color w:val="000000"/>
          <w:sz w:val="24"/>
        </w:rPr>
        <w:t xml:space="preserve">v.                                          No. 6:18-CR-06018-DGL-MWP</w:t>
      </w:r>
    </w:p>
    <w:p>
      <w:pPr>
        <w:pStyle w:val="FirstParagraph"/>
        <w:spacing w:line="480" w:lineRule="auto" w:before="0" w:after="0"/>
      </w:pPr>
      <w:r>
        <w:rPr>
          <w:rFonts w:ascii="Times New Roman" w:hAnsi="Times New Roman" w:eastAsia="Times New Roman" w:cs="Times New Roman"/>
          <w:color w:val="000000"/>
          <w:sz w:val="24"/>
        </w:rPr>
        <w:t xml:space="preserve">JEFFREY BERNECKY,</w:t>
      </w:r>
    </w:p>
    <w:p>
      <w:pPr>
        <w:pStyle w:val="SourceCode"/>
        <w:spacing w:line="480" w:lineRule="auto" w:before="0" w:after="0"/>
      </w:pPr>
      <w:r>
        <w:rPr>
          <w:rStyle w:val="VerbatimChar"/>
          <w:rFonts w:ascii="Times New Roman" w:hAnsi="Times New Roman" w:eastAsia="Times New Roman" w:cs="Times New Roman"/>
          <w:color w:val="000000"/>
          <w:sz w:val="24"/>
        </w:rPr>
        <w:t xml:space="preserve">Defendant.</w:t>
      </w:r>
    </w:p>
    <w:bookmarkStart w:id="38" w:name="X6a68cae5143134b1ddbde14d8e7f8455a52eb78"/>
    <w:p>
      <w:pPr>
        <w:pStyle w:val="Heading1"/>
        <w:spacing w:line="480" w:lineRule="auto" w:before="0" w:after="0"/>
      </w:pPr>
      <w:r>
        <w:rPr>
          <w:rFonts w:ascii="Times New Roman" w:hAnsi="Times New Roman" w:eastAsia="Times New Roman" w:cs="Times New Roman"/>
          <w:b/>
          <w:color w:val="000000"/>
          <w:sz w:val="24"/>
        </w:rPr>
        <w:t xml:space="preserve">DEFENDANT’S MOTION TO MODIFY CONDITIONS OF SUPERVISED RELEASE</w:t>
      </w:r>
    </w:p>
    <w:bookmarkStart w:id="20" w:name="pursuant-to-18-u.s.c.-3583e2"/>
    <w:p>
      <w:pPr>
        <w:pStyle w:val="Heading2"/>
        <w:spacing w:line="480" w:lineRule="auto" w:before="0" w:after="0"/>
      </w:pPr>
      <w:r>
        <w:rPr>
          <w:rFonts w:ascii="Times New Roman" w:hAnsi="Times New Roman" w:eastAsia="Times New Roman" w:cs="Times New Roman"/>
          <w:b/>
          <w:color w:val="000000"/>
          <w:sz w:val="24"/>
        </w:rPr>
        <w:t xml:space="preserve">PURSUANT TO 18 U.S.C. § 3583(e)(2)</w:t>
      </w:r>
    </w:p>
    <w:p>
      <w:pPr>
        <w:pStyle w:val="FirstParagraph"/>
        <w:spacing w:line="480" w:lineRule="auto" w:before="0" w:after="0"/>
        <w:ind w:firstLine="720"/>
      </w:pPr>
      <w:r>
        <w:rPr>
          <w:rFonts w:ascii="Times New Roman" w:hAnsi="Times New Roman" w:eastAsia="Times New Roman" w:cs="Times New Roman"/>
          <w:color w:val="000000"/>
          <w:sz w:val="24"/>
        </w:rPr>
        <w:t xml:space="preserve">Defendant Jeffrey Bernecky, proceeding</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pro se</w:t>
      </w:r>
      <w:r>
        <w:rPr>
          <w:rFonts w:ascii="Times New Roman" w:hAnsi="Times New Roman" w:eastAsia="Times New Roman" w:cs="Times New Roman"/>
          <w:color w:val="000000"/>
          <w:sz w:val="24"/>
        </w:rPr>
        <w:t xml:space="preserve">, respectfully moves this Court, pursuant to 18 U.S.C. § 3583(e)(2) and Federal Rule of Criminal Procedure 32.1(c), to modify the conditions of supervised release imposed by the Judgment entered June 12, 2018 (Dkt. 28). In support of this motion, Mr. Bernecky states as follows.</w:t>
      </w:r>
    </w:p>
    <w:bookmarkEnd w:id="20"/>
    <w:bookmarkStart w:id="21" w:name="preliminary-statement"/>
    <w:p>
      <w:pPr>
        <w:pStyle w:val="Heading2"/>
        <w:spacing w:line="480" w:lineRule="auto" w:before="0" w:after="0"/>
      </w:pPr>
      <w:r>
        <w:rPr>
          <w:rFonts w:ascii="Times New Roman" w:hAnsi="Times New Roman" w:eastAsia="Times New Roman" w:cs="Times New Roman"/>
          <w:b/>
          <w:color w:val="000000"/>
          <w:sz w:val="24"/>
        </w:rPr>
        <w:t xml:space="preserve">PRELIMINARY STATEMENT</w:t>
      </w:r>
    </w:p>
    <w:p>
      <w:pPr>
        <w:pStyle w:val="FirstParagraph"/>
        <w:spacing w:line="480" w:lineRule="auto" w:before="0" w:after="0"/>
        <w:ind w:firstLine="720"/>
      </w:pPr>
      <w:r>
        <w:rPr>
          <w:rFonts w:ascii="Times New Roman" w:hAnsi="Times New Roman" w:eastAsia="Times New Roman" w:cs="Times New Roman"/>
          <w:color w:val="000000"/>
          <w:sz w:val="24"/>
        </w:rPr>
        <w:t xml:space="preserve">Mr. Bernecky’s ten-year term of supervised release is scheduled to commence on or about July 27, 2026. Before it does, one dispute already has a face and a cost. A real job offer, at a contact lens manufacturer, is presently in jeopardy because the employer, reading the Computer and Internet Monitoring Program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CIMP</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condition’s text on its own, grew concerned that the condition might reach its own business systems. Mr. Bernecky had already voluntarily disclosed his conviction and supervision status to the employer, who offered to mitigate the concern with an internal-only account and no internet access at all. He then called his probation officer himself to try to resolve the ambiguity; the probation officer’s response was that it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should be fine so long as they have a way to monitor him</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an informal assurance, not a clarification of record. Since that conversation, Probation has done nothing to follow through: the employer’s human resources department confirms Probation has never contacted them, and the probation officer has not responded to any of Mr. Bernecky’s own emails. Mr. Bernecky does not believe the employer will hold the position much longer. He may become unemployed at the exact moment he transitions from Residential Reentry Center placement into supervision — a result difficult to reconcile with the purposes the Second Chance Act and supervised release itself are meant to serve. Mr. Bernecky is separately required, under Standard Condition 7, to maintain full-time employment. The result, before supervision has even begun, is a condition of supervision that risks defeating another.</w:t>
      </w:r>
    </w:p>
    <w:p>
      <w:pPr>
        <w:pStyle w:val="BodyText"/>
        <w:spacing w:line="480" w:lineRule="auto" w:before="0" w:after="0"/>
        <w:ind w:firstLine="720"/>
      </w:pPr>
      <w:r>
        <w:rPr>
          <w:rFonts w:ascii="Times New Roman" w:hAnsi="Times New Roman" w:eastAsia="Times New Roman" w:cs="Times New Roman"/>
          <w:color w:val="000000"/>
          <w:sz w:val="24"/>
        </w:rPr>
        <w:t xml:space="preserve">This motion does not ask the Court to declare the June 2018 Judgment invalid, and it does not ask the Court to revisit the legality of any finding the sentencing court made — or did not make — eight years ago. It asks the Court to do something considerably narrower and considerably more ordinary: to exercise the forward-looking modification authority that 18 U.S.C. § 3583(e)(2) has always given it, informed by developments in the governing law since 2018 and by the U.S. Sentencing Commission’s own November 2025 instruction that this exact moment — the commencement of supervision — is the moment a court should reassess whether its conditions still fit. See U.S.S.G. § 5D1.4(a) (2025).</w:t>
      </w:r>
    </w:p>
    <w:p>
      <w:pPr>
        <w:pStyle w:val="BodyText"/>
        <w:spacing w:line="480" w:lineRule="auto" w:before="0" w:after="0"/>
        <w:ind w:firstLine="720"/>
      </w:pPr>
      <w:r>
        <w:rPr>
          <w:rFonts w:ascii="Times New Roman" w:hAnsi="Times New Roman" w:eastAsia="Times New Roman" w:cs="Times New Roman"/>
          <w:color w:val="000000"/>
          <w:sz w:val="24"/>
        </w:rPr>
        <w:t xml:space="preserve">The motion is organized around eight groups of conditions. It leads with the CIMP/occupational dispute, because it is the most urgent and the most fully developed; it closes with several narrower, more efficiently presented requests. Throughout, the touchstone is the same: not whether the 2018 Judgment was right when entered, but whether, on the record as it stands today, these conditions are still doing the job the law asks them to do.</w:t>
      </w:r>
    </w:p>
    <w:bookmarkEnd w:id="21"/>
    <w:bookmarkStart w:id="22" w:name="jurisdiction-and-standard-of-review"/>
    <w:p>
      <w:pPr>
        <w:pStyle w:val="Heading2"/>
        <w:spacing w:line="480" w:lineRule="auto" w:before="0" w:after="0"/>
      </w:pPr>
      <w:r>
        <w:rPr>
          <w:rFonts w:ascii="Times New Roman" w:hAnsi="Times New Roman" w:eastAsia="Times New Roman" w:cs="Times New Roman"/>
          <w:b/>
          <w:color w:val="000000"/>
          <w:sz w:val="24"/>
        </w:rPr>
        <w:t xml:space="preserve">JURISDICTION AND STANDARD OF REVIEW</w:t>
      </w:r>
    </w:p>
    <w:p>
      <w:pPr>
        <w:pStyle w:val="FirstParagraph"/>
        <w:spacing w:line="480" w:lineRule="auto" w:before="0" w:after="0"/>
        <w:ind w:firstLine="720"/>
      </w:pPr>
      <w:r>
        <w:rPr>
          <w:rFonts w:ascii="Times New Roman" w:hAnsi="Times New Roman" w:eastAsia="Times New Roman" w:cs="Times New Roman"/>
          <w:color w:val="000000"/>
          <w:sz w:val="24"/>
        </w:rPr>
        <w:t xml:space="preserve">Title 18, United States Code, Section 3583(e)(2) provides that the Court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may . . . modify, reduce, or enlarge the conditions of supervised release, at any time prior to the expiration or termination of the term of supervised release, pursuant to the provisions of the Federal Rules of Criminal Procedure relating to the modification of probation.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18 U.S.C. § 3583(e)(2). The statute’s own cross-reference to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the Federal Rules of Criminal Procedure relating to the modification of probation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identifies Rule 32.1(c) as the governing procedural vehicle.</w:t>
      </w:r>
    </w:p>
    <w:p>
      <w:pPr>
        <w:pStyle w:val="BodyText"/>
        <w:spacing w:line="480" w:lineRule="auto" w:before="0" w:after="0"/>
        <w:ind w:firstLine="720"/>
      </w:pPr>
      <w:r>
        <w:rPr>
          <w:rFonts w:ascii="Times New Roman" w:hAnsi="Times New Roman" w:eastAsia="Times New Roman" w:cs="Times New Roman"/>
          <w:color w:val="000000"/>
          <w:sz w:val="24"/>
        </w:rPr>
        <w:t xml:space="preserve">The Second Circuit has confirmed that § 3583(e)(2) is a general, forward-looking tool, not one gated by a threshold showing of changed circumstances.</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Lussier</w:t>
      </w:r>
      <w:r>
        <w:rPr>
          <w:rFonts w:ascii="Times New Roman" w:hAnsi="Times New Roman" w:eastAsia="Times New Roman" w:cs="Times New Roman"/>
          <w:color w:val="000000"/>
          <w:sz w:val="24"/>
        </w:rPr>
        <w:t xml:space="preserve">, 104 F.3d 32, 36 (2d Cir. 1997) (quoting the Rule 32.1 Advisory Committee’s Notes for the proposition that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the sentencing court must be able to respond to changes in the [defendant’s] circumstances as well as new ideas and methods of rehabilitation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At the same time,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Lussier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holds that § 3583(e)(2) does not reach the legality or validity of a condition as it was originally imposed — that is the office of direct appeal or a motion under 28 U.S.C. § 2255.</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at 33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We agree with the District Court that it lacked authority to entertain [the defendant’s] challenge to the legality of the restitution order under subsection 3583(e)(2).</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This motion is framed accordingly, throughout, as a request for present-tense clarification and reassessment of the scope of existing conditions — not as a claim that the 2018 Judgment was invalid when entered.</w:t>
      </w:r>
    </w:p>
    <w:p>
      <w:pPr>
        <w:pStyle w:val="BodyText"/>
        <w:spacing w:line="480" w:lineRule="auto" w:before="0" w:after="0"/>
        <w:ind w:firstLine="720"/>
      </w:pPr>
      <w:r>
        <w:rPr>
          <w:rFonts w:ascii="Times New Roman" w:hAnsi="Times New Roman" w:eastAsia="Times New Roman" w:cs="Times New Roman"/>
          <w:color w:val="000000"/>
          <w:sz w:val="24"/>
        </w:rPr>
        <w:t xml:space="preserve">The Sentencing Commission’s November 2025 amendment to U.S.S.G. § 5D1.4 confirms that this is precisely the right moment to ask. Subsection (a) provides that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[a]t any time prior to the expiration or termination of the term of supervised release, the court may modify, reduce, or enlarge the conditions of supervised release whenever warranted by an individualized assessment of the appropriateness of existing conditions,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that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[t]he court is encouraged to conduct such an assessment in consultation with the probation officer after the defendant’s release from imprisonment.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U.S.S.G. § 5D1.4(a) (2025). Mr. Bernecky is, right now, in exactly that position.</w:t>
      </w:r>
    </w:p>
    <w:p>
      <w:pPr>
        <w:pStyle w:val="BodyText"/>
        <w:spacing w:line="480" w:lineRule="auto" w:before="0" w:after="0"/>
        <w:ind w:firstLine="720"/>
      </w:pPr>
      <w:r>
        <w:rPr>
          <w:rFonts w:ascii="Times New Roman" w:hAnsi="Times New Roman" w:eastAsia="Times New Roman" w:cs="Times New Roman"/>
          <w:color w:val="000000"/>
          <w:sz w:val="24"/>
        </w:rPr>
        <w:t xml:space="preserve">It bears emphasis that Congress itself — not merely the Sentencing Commission — drew a sharp line between modification under § 3583(e)(2) and early termination under § 3583(e)(1). Early termination is available only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after the expiration of one year of supervised release.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18 U.S.C. § 3583(e)(1). Modification carries no such floor: it is available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at any time prior to the expiration or termination of the term of supervised release.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3583(e)(2). The Sentencing Commission’s own guideline text tracks, rather than creates, that distinction — § 5D1.4(b)’s one-year figure expressly cross-cites § 3583(e)(1), while § 5D1.4(a)’s absence of any time-trigger cross-cites § 3583(e)(2). There is, in short, no procedural obstacle to resolving these questions now, before supervision has even begun.</w:t>
      </w:r>
    </w:p>
    <w:p>
      <w:pPr>
        <w:pStyle w:val="BodyText"/>
        <w:spacing w:line="480" w:lineRule="auto" w:before="0" w:after="0"/>
        <w:ind w:firstLine="720"/>
      </w:pPr>
      <w:r>
        <w:rPr>
          <w:rFonts w:ascii="Times New Roman" w:hAnsi="Times New Roman" w:eastAsia="Times New Roman" w:cs="Times New Roman"/>
          <w:color w:val="000000"/>
          <w:sz w:val="24"/>
        </w:rPr>
        <w:t xml:space="preserve">Finally, there is no reason to wait. Mr. Bernecky’s supervision has not yet begun, and the uncertainty described in Part A is already causing real harm before it does. A condition’s scope should not be left to be worked out through informal, shifting assurances after the fact; it should be clear from the outset, for Probation’s benefit, for any employer’s benefit, and for Mr. Bernecky’s own. Resolving these questions now, on the current record, serves that interest far better than leaving them unresolved.</w:t>
      </w:r>
    </w:p>
    <w:bookmarkEnd w:id="22"/>
    <w:bookmarkStart w:id="23" w:name="statement-of-facts"/>
    <w:p>
      <w:pPr>
        <w:pStyle w:val="Heading2"/>
        <w:spacing w:line="480" w:lineRule="auto" w:before="0" w:after="0"/>
      </w:pPr>
      <w:r>
        <w:rPr>
          <w:rFonts w:ascii="Times New Roman" w:hAnsi="Times New Roman" w:eastAsia="Times New Roman" w:cs="Times New Roman"/>
          <w:b/>
          <w:color w:val="000000"/>
          <w:sz w:val="24"/>
        </w:rPr>
        <w:t xml:space="preserve">STATEMENT OF FACTS</w:t>
      </w:r>
    </w:p>
    <w:p>
      <w:pPr>
        <w:pStyle w:val="FirstParagraph"/>
        <w:spacing w:line="480" w:lineRule="auto" w:before="0" w:after="0"/>
        <w:ind w:firstLine="720"/>
      </w:pPr>
      <w:r>
        <w:rPr>
          <w:rFonts w:ascii="Times New Roman" w:hAnsi="Times New Roman" w:eastAsia="Times New Roman" w:cs="Times New Roman"/>
          <w:color w:val="000000"/>
          <w:sz w:val="24"/>
        </w:rPr>
        <w:t xml:space="preserve">Mr. Bernecky was sentenced on June 12, 2018 by the Honorable David G. Larimer to 120 months’ imprisonment followed by ten years of supervised release, following a guilty plea to possession of child pornography involving prepubescent minors. His release from imprisonment, and the commencement of his ten-year term of supervision, is scheduled for on or about July 27, 2026.</w:t>
      </w:r>
    </w:p>
    <w:p>
      <w:pPr>
        <w:pStyle w:val="BodyText"/>
        <w:spacing w:line="480" w:lineRule="auto" w:before="0" w:after="0"/>
        <w:ind w:firstLine="720"/>
      </w:pPr>
      <w:r>
        <w:rPr>
          <w:rFonts w:ascii="Times New Roman" w:hAnsi="Times New Roman" w:eastAsia="Times New Roman" w:cs="Times New Roman"/>
          <w:color w:val="000000"/>
          <w:sz w:val="24"/>
        </w:rPr>
        <w:t xml:space="preserve">While in Bureau of Prisons community custody, a temporary-service placement led to a genuine offer of employment at a contact lens manufacturer. Mr. Bernecky voluntarily and fully disclosed his conviction and supervision status to the employer — disclosure the CIMP condition’s text does not require of him at all. The employer, reading the CIMP condition’s own text, raised concerns on its own initiative about monitoring reaching its business systems. Nothing in the condition’s text mentions employers, third-party systems, or any capability requirement to be met by a non-party; the condition speaks only of devices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owned or operated by the defendant,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it was the employer’s own good-faith reading of that ambiguous language, not any demand initiated by Probation, that produced the concern.</w:t>
      </w:r>
    </w:p>
    <w:p>
      <w:pPr>
        <w:pStyle w:val="BodyText"/>
        <w:spacing w:line="480" w:lineRule="auto" w:before="0" w:after="0"/>
        <w:ind w:firstLine="720"/>
      </w:pPr>
      <w:r>
        <w:rPr>
          <w:rFonts w:ascii="Times New Roman" w:hAnsi="Times New Roman" w:eastAsia="Times New Roman" w:cs="Times New Roman"/>
          <w:color w:val="000000"/>
          <w:sz w:val="24"/>
        </w:rPr>
        <w:t xml:space="preserve">Mr. Bernecky called his probation officer directly to try to resolve the ambiguity. The probation officer’s response was informal and non-committal: that it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should be fine so long as they have a way to monitor him.</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That comment was never followed up in any way that actually clarified the condition’s scope for the employer. Mr. Bernecky had already told the employer he would not need to use its shared computers for his job duties, and the employer offered a mitigation of its own — an internal-only account with internet access disabled entirely, precisely the kind of device that, by CIMP’s own opening language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any internet capable device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should fall outside the condition’s scope in the first place.</w:t>
      </w:r>
    </w:p>
    <w:p>
      <w:pPr>
        <w:pStyle w:val="BodyText"/>
        <w:spacing w:line="480" w:lineRule="auto" w:before="0" w:after="0"/>
        <w:ind w:firstLine="720"/>
      </w:pPr>
      <w:r>
        <w:rPr>
          <w:rFonts w:ascii="Times New Roman" w:hAnsi="Times New Roman" w:eastAsia="Times New Roman" w:cs="Times New Roman"/>
          <w:color w:val="000000"/>
          <w:sz w:val="24"/>
        </w:rPr>
        <w:t xml:space="preserve">Since that conversation, Probation has done nothing to resolve the ambiguity it left in place. Mr. Bernecky has separately contacted both the employer’s human resources department and Probation; human resources confirms that Probation has never contacted them, and the probation officer has not responded to any of Mr. Bernecky’s own emails. Mr. Bernecky does not believe the employer will hold the position much longer, and he may become unemployed at the precise moment he transitions from Residential Reentry Center placement into supervision. Mr. Bernecky has signed a lease in reliance on stable income and is now in a financially precarious position. And the problem is not confined to this one job: absent a clarification of the condition’s scope, the identical ambiguity will invite the identical concern from any future employer, for as long as Mr. Bernecky remains subject to a mandatory full-time-employment requirement (Standard Condition 7) that this same ambiguity is simultaneously capable of frustrating.</w:t>
      </w:r>
    </w:p>
    <w:p>
      <w:pPr>
        <w:pStyle w:val="BodyText"/>
        <w:spacing w:line="480" w:lineRule="auto" w:before="0" w:after="0"/>
        <w:ind w:firstLine="720"/>
      </w:pPr>
      <w:r>
        <w:rPr>
          <w:rFonts w:ascii="Times New Roman" w:hAnsi="Times New Roman" w:eastAsia="Times New Roman" w:cs="Times New Roman"/>
          <w:color w:val="000000"/>
          <w:sz w:val="24"/>
        </w:rPr>
        <w:t xml:space="preserve">Two further, unrelated factual developments bear on the arguments below, each postdating the 2018 sentencing. The first concerns Special Condition (c), the contact-with-minors condition addressed in Part D: while Mr. Bernecky was incarcerated, his sister had children, so that the specific nieces and nephews who are part of his family today did not exist — and could not have been the subject of any individualized finding — at the time of sentencing. The second concerns Special Condition (i), addressed in Part H: Mr. Bernecky believes the $500 restitution obligation imposed by the Judgment has been paid in full, a fact that, if confirmed by the record, moots the continuing need for that condition.</w:t>
      </w:r>
    </w:p>
    <w:bookmarkEnd w:id="23"/>
    <w:bookmarkStart w:id="35" w:name="argument"/>
    <w:p>
      <w:pPr>
        <w:pStyle w:val="Heading2"/>
        <w:spacing w:line="480" w:lineRule="auto" w:before="0" w:after="0"/>
      </w:pPr>
      <w:r>
        <w:rPr>
          <w:rFonts w:ascii="Times New Roman" w:hAnsi="Times New Roman" w:eastAsia="Times New Roman" w:cs="Times New Roman"/>
          <w:b/>
          <w:color w:val="000000"/>
          <w:sz w:val="24"/>
        </w:rPr>
        <w:t xml:space="preserve">ARGUMENT</w:t>
      </w:r>
    </w:p>
    <w:bookmarkStart w:id="24" w:name="Xb9165e2253e6eb57c538a0942d5a57928f09e42"/>
    <w:p>
      <w:pPr>
        <w:pStyle w:val="Heading3"/>
        <w:spacing w:line="480" w:lineRule="auto" w:before="0" w:after="0"/>
      </w:pPr>
      <w:r>
        <w:rPr>
          <w:rFonts w:ascii="Times New Roman" w:hAnsi="Times New Roman" w:eastAsia="Times New Roman" w:cs="Times New Roman"/>
          <w:b/>
          <w:color w:val="000000"/>
          <w:sz w:val="24"/>
        </w:rPr>
        <w:t xml:space="preserve">A. No Condition of This Judgment Authorizes an Occupational Restriction, and None Should Be Read to Impose One</w:t>
      </w:r>
    </w:p>
    <w:p>
      <w:pPr>
        <w:pStyle w:val="FirstParagraph"/>
        <w:spacing w:line="480" w:lineRule="auto" w:before="0" w:after="0"/>
        <w:ind w:firstLine="720"/>
      </w:pPr>
      <w:r>
        <w:rPr>
          <w:bCs/>
          <w:rFonts w:ascii="Times New Roman" w:hAnsi="Times New Roman" w:eastAsia="Times New Roman" w:cs="Times New Roman"/>
          <w:b/>
          <w:color w:val="000000"/>
          <w:sz w:val="24"/>
        </w:rPr>
        <w:t xml:space="preserve">1. The word</w:t>
      </w:r>
      <w:r>
        <w:rPr>
          <w:bCs/>
          <w:rFonts w:ascii="Times New Roman" w:hAnsi="Times New Roman" w:eastAsia="Times New Roman" w:cs="Times New Roman"/>
          <w:b/>
          <w:color w:val="000000"/>
          <w:sz w:val="24"/>
        </w:rPr>
        <w:t xml:space="preserve"> </w:t>
      </w:r>
      <w:r>
        <w:rPr>
          <w:bCs/>
          <w:rFonts w:ascii="Times New Roman" w:hAnsi="Times New Roman" w:eastAsia="Times New Roman" w:cs="Times New Roman"/>
          <w:b/>
          <w:color w:val="000000"/>
          <w:sz w:val="24"/>
        </w:rPr>
        <w:t xml:space="preserve">“</w:t>
      </w:r>
      <w:r>
        <w:rPr>
          <w:bCs/>
          <w:rFonts w:ascii="Times New Roman" w:hAnsi="Times New Roman" w:eastAsia="Times New Roman" w:cs="Times New Roman"/>
          <w:b/>
          <w:color w:val="000000"/>
          <w:sz w:val="24"/>
        </w:rPr>
        <w:t xml:space="preserve">employer</w:t>
      </w:r>
      <w:r>
        <w:rPr>
          <w:bCs/>
          <w:rFonts w:ascii="Times New Roman" w:hAnsi="Times New Roman" w:eastAsia="Times New Roman" w:cs="Times New Roman"/>
          <w:b/>
          <w:color w:val="000000"/>
          <w:sz w:val="24"/>
        </w:rPr>
        <w:t xml:space="preserve">”</w:t>
      </w:r>
      <w:r>
        <w:rPr>
          <w:bCs/>
          <w:rFonts w:ascii="Times New Roman" w:hAnsi="Times New Roman" w:eastAsia="Times New Roman" w:cs="Times New Roman"/>
          <w:b/>
          <w:color w:val="000000"/>
          <w:sz w:val="24"/>
        </w:rPr>
        <w:t xml:space="preserve"> </w:t>
      </w:r>
      <w:r>
        <w:rPr>
          <w:bCs/>
          <w:rFonts w:ascii="Times New Roman" w:hAnsi="Times New Roman" w:eastAsia="Times New Roman" w:cs="Times New Roman"/>
          <w:b/>
          <w:color w:val="000000"/>
          <w:sz w:val="24"/>
        </w:rPr>
        <w:t xml:space="preserve">does not appear in the CIMP condition. That silence means there is no employer-facing restriction — not an ambiguous one, none at all — and confirming that in a written order is all the relief this part of the motion seeks.</w:t>
      </w:r>
    </w:p>
    <w:p>
      <w:pPr>
        <w:pStyle w:val="BodyText"/>
        <w:spacing w:line="480" w:lineRule="auto" w:before="0" w:after="0"/>
        <w:ind w:firstLine="720"/>
      </w:pPr>
      <w:r>
        <w:rPr>
          <w:rFonts w:ascii="Times New Roman" w:hAnsi="Times New Roman" w:eastAsia="Times New Roman" w:cs="Times New Roman"/>
          <w:color w:val="000000"/>
          <w:sz w:val="24"/>
        </w:rPr>
        <w:t xml:space="preserve">Special Condition (a) says what it says: Mr. Bernecky must participate in CIMP monitoring, and Probation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is authorized to install any application as necessary to surveil all activity on computer(s) or connected device(s) owned or operated by the defendant.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Nowhere in that sentence, or anywhere else in the condition, does the word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employer,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employment,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workplace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appear. The word appears exactly twice elsewhere in the Judgment — in the mandatory full-time-employment condition and in the sex-offender-registration condition — and neither instance touches Special Condition (a) at all. No finding under U.S.S.G. § 5F1.5 appears anywhere in the Judgment, because none was ever made. On the plain text, the condition simply does not speak to employers or to any third party’s systems. It follows, as a matter of ordinary reading, that no employer-facing restriction exists under this Judgment — not that one exists but is unclear.</w:t>
      </w:r>
    </w:p>
    <w:p>
      <w:pPr>
        <w:pStyle w:val="BodyText"/>
        <w:spacing w:line="480" w:lineRule="auto" w:before="0" w:after="0"/>
        <w:ind w:firstLine="720"/>
      </w:pPr>
      <w:r>
        <w:rPr>
          <w:rFonts w:ascii="Times New Roman" w:hAnsi="Times New Roman" w:eastAsia="Times New Roman" w:cs="Times New Roman"/>
          <w:color w:val="000000"/>
          <w:sz w:val="24"/>
        </w:rPr>
        <w:t xml:space="preserve">This is precisely the confirmation the employer itself is asking for. The employer’s own concern, described above, is not that the condition clearly reaches its systems; it is that the employer cannot get anyone at Probation to tell it, one way or the other, that it does not. Mr. Bernecky is not asking this Court to resolve a genuinely open question of interpretation. He is asking the Court to put in writing what the condition’s own silence on employment already establishes: that Special Condition (a) confers no authority over the employer’s systems, imposes no obligation on the employer to demonstrate anything about its own monitoring capability, and was never intended to reach this far. Once that is in writing, the employer has what it needs, and the job can proceed.</w:t>
      </w:r>
    </w:p>
    <w:p>
      <w:pPr>
        <w:pStyle w:val="BodyText"/>
        <w:spacing w:line="480" w:lineRule="auto" w:before="0" w:after="0"/>
        <w:ind w:firstLine="720"/>
      </w:pPr>
      <w:r>
        <w:rPr>
          <w:rFonts w:ascii="Times New Roman" w:hAnsi="Times New Roman" w:eastAsia="Times New Roman" w:cs="Times New Roman"/>
          <w:color w:val="000000"/>
          <w:sz w:val="24"/>
        </w:rPr>
        <w:t xml:space="preserve">The authority for saying so plainly does not rest on the formalities governing how a new condition is created. It rests on the settled principle that the power to impose special conditions of supervised release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is vested exclusively in the district court.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Matta</w:t>
      </w:r>
      <w:r>
        <w:rPr>
          <w:rFonts w:ascii="Times New Roman" w:hAnsi="Times New Roman" w:eastAsia="Times New Roman" w:cs="Times New Roman"/>
          <w:color w:val="000000"/>
          <w:sz w:val="24"/>
        </w:rPr>
        <w:t xml:space="preserve">, 777 F.3d 116, 122 (2d Cir. 2015). When a probation officer’s administration of a condition — or, as here, an employer’s understandable uncertainty about that administration — threatens to reach further than the condition the court actually imposed, the Second Circuit has not hesitated to say so: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[b]ecause such a requirement . . . would contradict, rather than execute, [the defendant’s] sentence, the Probation Office was plainly without power to impose it.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Browder</w:t>
      </w:r>
      <w:r>
        <w:rPr>
          <w:rFonts w:ascii="Times New Roman" w:hAnsi="Times New Roman" w:eastAsia="Times New Roman" w:cs="Times New Roman"/>
          <w:color w:val="000000"/>
          <w:sz w:val="24"/>
        </w:rPr>
        <w:t xml:space="preserve">, 866 F.3d 504, 514 (2d Cir. 2017).</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Kunz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reaffirms the same principle for the very CIMP boilerplate at issue here, construing an identical condition’s privilege-protection clause as a real constraint on Probation,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not surplusage.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Kunz</w:t>
      </w:r>
      <w:r>
        <w:rPr>
          <w:rFonts w:ascii="Times New Roman" w:hAnsi="Times New Roman" w:eastAsia="Times New Roman" w:cs="Times New Roman"/>
          <w:color w:val="000000"/>
          <w:sz w:val="24"/>
        </w:rPr>
        <w:t xml:space="preserve">, 68 F.4th 748, 766-67 (2d Cir. 2023). Because no provision of this Judgment authorizes reaching an employer’s own systems, no one — not Probation, not an examiner, not an anxious but well-meaning employer — may treat the condition as if it did. The relief requested is a clarifying order confirming what the text already provides — not a ruling that the 2018 Judgment was invalid.</w:t>
      </w:r>
    </w:p>
    <w:p>
      <w:pPr>
        <w:pStyle w:val="BodyText"/>
        <w:spacing w:line="480" w:lineRule="auto" w:before="0" w:after="0"/>
        <w:ind w:firstLine="720"/>
      </w:pPr>
      <w:r>
        <w:rPr>
          <w:bCs/>
          <w:rFonts w:ascii="Times New Roman" w:hAnsi="Times New Roman" w:eastAsia="Times New Roman" w:cs="Times New Roman"/>
          <w:b/>
          <w:color w:val="000000"/>
          <w:sz w:val="24"/>
        </w:rPr>
        <w:t xml:space="preserve">2. Even if an occupational restriction were found to exist, no U.S.S.G. § 5F1.5 finding supports it, and Mr. Bernecky’s own facts make that plain.</w:t>
      </w:r>
    </w:p>
    <w:p>
      <w:pPr>
        <w:pStyle w:val="BodyText"/>
        <w:spacing w:line="480" w:lineRule="auto" w:before="0" w:after="0"/>
        <w:ind w:firstLine="720"/>
      </w:pPr>
      <w:r>
        <w:rPr>
          <w:rFonts w:ascii="Times New Roman" w:hAnsi="Times New Roman" w:eastAsia="Times New Roman" w:cs="Times New Roman"/>
          <w:color w:val="000000"/>
          <w:sz w:val="24"/>
        </w:rPr>
        <w:t xml:space="preserve">Section 5F1.5(a) requires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 reasonably direct relationship . . . between the defendant’s occupation, business, or profession and the conduct relevant to the offense of conviction,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together with a necessity finding. This district’s own recent case law treats even a mandatory employer-</w:t>
      </w:r>
      <w:r>
        <w:rPr>
          <w:iCs/>
          <w:rFonts w:ascii="Times New Roman" w:hAnsi="Times New Roman" w:eastAsia="Times New Roman" w:cs="Times New Roman"/>
          <w:i/>
          <w:color w:val="000000"/>
          <w:sz w:val="24"/>
        </w:rPr>
        <w:t xml:space="preserve">notification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requirement as a</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de facto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occupational restriction demanding that finding.</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See United States v. Love</w:t>
      </w:r>
      <w:r>
        <w:rPr>
          <w:rFonts w:ascii="Times New Roman" w:hAnsi="Times New Roman" w:eastAsia="Times New Roman" w:cs="Times New Roman"/>
          <w:color w:val="000000"/>
          <w:sz w:val="24"/>
        </w:rPr>
        <w:t xml:space="preserve">, No. 24-1706-cr, 2025 WL 1077176 (2d Cir. Apr. 8, 2025);</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Jenkins</w:t>
      </w:r>
      <w:r>
        <w:rPr>
          <w:rFonts w:ascii="Times New Roman" w:hAnsi="Times New Roman" w:eastAsia="Times New Roman" w:cs="Times New Roman"/>
          <w:color w:val="000000"/>
          <w:sz w:val="24"/>
        </w:rPr>
        <w:t xml:space="preserve">, 854 F.3d 181 (2d Cir. 2017);</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Ruff</w:t>
      </w:r>
      <w:r>
        <w:rPr>
          <w:rFonts w:ascii="Times New Roman" w:hAnsi="Times New Roman" w:eastAsia="Times New Roman" w:cs="Times New Roman"/>
          <w:color w:val="000000"/>
          <w:sz w:val="24"/>
        </w:rPr>
        <w:t xml:space="preserve">, No. 18-3247-cr (2d Cir. Nov. 14, 2019) (vacating);</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Lombardi</w:t>
      </w:r>
      <w:r>
        <w:rPr>
          <w:rFonts w:ascii="Times New Roman" w:hAnsi="Times New Roman" w:eastAsia="Times New Roman" w:cs="Times New Roman"/>
          <w:color w:val="000000"/>
          <w:sz w:val="24"/>
        </w:rPr>
        <w:t xml:space="preserve">, No. 17-2352-cr (2d Cir. Mar. 22, 2018) (remanding);</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Piper</w:t>
      </w:r>
      <w:r>
        <w:rPr>
          <w:rFonts w:ascii="Times New Roman" w:hAnsi="Times New Roman" w:eastAsia="Times New Roman" w:cs="Times New Roman"/>
          <w:color w:val="000000"/>
          <w:sz w:val="24"/>
        </w:rPr>
        <w:t xml:space="preserve">, No. 19-1058-cr (2d Cir. Mar. 30, 2020) (remanding).</w:t>
      </w:r>
    </w:p>
    <w:p>
      <w:pPr>
        <w:pStyle w:val="BodyText"/>
        <w:spacing w:line="480" w:lineRule="auto" w:before="0" w:after="0"/>
        <w:ind w:firstLine="720"/>
      </w:pPr>
      <w:r>
        <w:rPr>
          <w:rFonts w:ascii="Times New Roman" w:hAnsi="Times New Roman" w:eastAsia="Times New Roman" w:cs="Times New Roman"/>
          <w:color w:val="000000"/>
          <w:sz w:val="24"/>
        </w:rPr>
        <w:t xml:space="preserve">If a mandatory</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notification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clause is enough to trigger § 5F1.5 in that line of cases, a condition that has already produced a considerably more burdensome, textually unsupported capability question in practice — as this one has — is at least as strong a candidate for the same treatment — particularly because Mr. Bernecky’s own condition contains no notification requirement at all; he disclosed voluntarily, going further than anything the condition required of him.</w:t>
      </w:r>
    </w:p>
    <w:p>
      <w:pPr>
        <w:pStyle w:val="BodyText"/>
        <w:spacing w:line="480" w:lineRule="auto" w:before="0" w:after="0"/>
        <w:ind w:firstLine="720"/>
      </w:pPr>
      <w:r>
        <w:rPr>
          <w:iCs/>
          <w:rFonts w:ascii="Times New Roman" w:hAnsi="Times New Roman" w:eastAsia="Times New Roman" w:cs="Times New Roman"/>
          <w:i/>
          <w:color w:val="000000"/>
          <w:sz w:val="24"/>
        </w:rPr>
        <w:t xml:space="preserve">United States v. Brown</w:t>
      </w:r>
      <w:r>
        <w:rPr>
          <w:rFonts w:ascii="Times New Roman" w:hAnsi="Times New Roman" w:eastAsia="Times New Roman" w:cs="Times New Roman"/>
          <w:color w:val="000000"/>
          <w:sz w:val="24"/>
        </w:rPr>
        <w:t xml:space="preserve">, 173 F.4th 45 (2d Cir. 2026), does not compel a different result. Brown’s own claim was that the condition functioned as a</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compelled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notification requirement; Mr. Bernecky does not object to notification — he has already made it, voluntarily, and it was accepted. Brown’s condition, moreover, contained its own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as permitted by the employer</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clause — a built-in consent gate Mr. Bernecky’s condition lacks entirely. And Brown’s occupational-restriction holding arose on plain-error review, a posture materially different from the de novo consideration this motion invites.</w:t>
      </w:r>
    </w:p>
    <w:p>
      <w:pPr>
        <w:pStyle w:val="BodyText"/>
        <w:spacing w:line="480" w:lineRule="auto" w:before="0" w:after="0"/>
        <w:ind w:firstLine="720"/>
      </w:pPr>
      <w:r>
        <w:rPr>
          <w:rFonts w:ascii="Times New Roman" w:hAnsi="Times New Roman" w:eastAsia="Times New Roman" w:cs="Times New Roman"/>
          <w:color w:val="000000"/>
          <w:sz w:val="24"/>
        </w:rPr>
        <w:t xml:space="preserve">The disproportion is sharpened by the facts of this specific job: the position at the contact lens manufacturer requires no public internet access at all, and the employer has already offered an internet-disabled internal account. CIMP’s stated purpose — monitoring internet-facilitated risk — has essentially no application here, and yet Mr. Bernecky remains suspended from employment he is separately required, under Standard Condition 7, to maintain.</w:t>
      </w:r>
    </w:p>
    <w:p>
      <w:pPr>
        <w:pStyle w:val="BodyText"/>
        <w:spacing w:line="480" w:lineRule="auto" w:before="0" w:after="0"/>
        <w:ind w:firstLine="720"/>
      </w:pPr>
      <w:r>
        <w:rPr>
          <w:bCs/>
          <w:rFonts w:ascii="Times New Roman" w:hAnsi="Times New Roman" w:eastAsia="Times New Roman" w:cs="Times New Roman"/>
          <w:b/>
          <w:color w:val="000000"/>
          <w:sz w:val="24"/>
        </w:rPr>
        <w:t xml:space="preserve">3. Nothing in the Judgment authorizes reaching a non-party’s systems, and Mr. Bernecky may say so in his own right — the employer’s understandable uncertainty only confirms why a written order, not an informal assurance, is what is actually needed.</w:t>
      </w:r>
    </w:p>
    <w:p>
      <w:pPr>
        <w:pStyle w:val="BodyText"/>
        <w:spacing w:line="480" w:lineRule="auto" w:before="0" w:after="0"/>
        <w:ind w:firstLine="720"/>
      </w:pPr>
      <w:r>
        <w:rPr>
          <w:rFonts w:ascii="Times New Roman" w:hAnsi="Times New Roman" w:eastAsia="Times New Roman" w:cs="Times New Roman"/>
          <w:color w:val="000000"/>
          <w:sz w:val="24"/>
        </w:rPr>
        <w:t xml:space="preserve">The point of this section is not that the condition might be read to reach the employer’s systems. It is that it cannot be, and that saying so in an order — rather than leaving it to an employer’s own good-faith guesswork and a probation officer’s off-the-cuff reassurance — is the only way to actually fix the problem. The employer here read the condition’s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owned or operated by the defendant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language and, without any prompting from Probation, wondered whether its own systems might be implicated. That is understandable: nothing in the Judgment tells an employer, in so many words, that it is not. But an employer’s uncertainty about a condition’s reach is not evidence that the condition actually reaches that far — it is evidence that no one has yet told the employer, clearly and in writing, that it does not. A materially identical condition produced the identical confusion in</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Mike</w:t>
      </w:r>
      <w:r>
        <w:rPr>
          <w:rFonts w:ascii="Times New Roman" w:hAnsi="Times New Roman" w:eastAsia="Times New Roman" w:cs="Times New Roman"/>
          <w:color w:val="000000"/>
          <w:sz w:val="24"/>
        </w:rPr>
        <w:t xml:space="preserve">, 632 F.3d 686, 696-97 (10th Cir. 2011), where the government itself argued the condition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cannot be read fairly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reach an employer’s computers — and the Tenth Circuit’s answer was not to leave the question open, but to remand with instructions that the condition be clarified so that no one would have to guess.</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Id.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see also United States v. Matteson</w:t>
      </w:r>
      <w:r>
        <w:rPr>
          <w:rFonts w:ascii="Times New Roman" w:hAnsi="Times New Roman" w:eastAsia="Times New Roman" w:cs="Times New Roman"/>
          <w:color w:val="000000"/>
          <w:sz w:val="24"/>
        </w:rPr>
        <w:t xml:space="preserve">, 327 F. App’x 791 (10th Cir. 2009). That is exactly the order Mr. Bernecky requests here.</w:t>
      </w:r>
    </w:p>
    <w:p>
      <w:pPr>
        <w:pStyle w:val="BodyText"/>
        <w:spacing w:line="480" w:lineRule="auto" w:before="0" w:after="0"/>
        <w:ind w:firstLine="720"/>
      </w:pPr>
      <w:r>
        <w:rPr>
          <w:rFonts w:ascii="Times New Roman" w:hAnsi="Times New Roman" w:eastAsia="Times New Roman" w:cs="Times New Roman"/>
          <w:color w:val="000000"/>
          <w:sz w:val="24"/>
        </w:rPr>
        <w:t xml:space="preserve">Probation’s own conduct since the employer’s concern first surfaced has made a written order more necessary, not less. An informal, non-committal comment that things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should be fine so long as they have a way to monitor him</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not a clarification of record, and it has not functioned as one: Probation has not followed up with the employer at all, and has not responded to Mr. Bernecky’s own inquiries. Whatever authority the CIMP condition confers, it does not extend to an employer’s own systems, and Mr. Bernecky may say so in his own right without needing to assert his employer’s separate interests. His own injury — jeopardized employment, a live risk of a violation finding premised on an unwritten and shifting understanding of his own condition, and a direct burden on his own liberty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seeks to vindicate [his] own constitutional interests,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not the employer’s.</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Bond v. United States</w:t>
      </w:r>
      <w:r>
        <w:rPr>
          <w:rFonts w:ascii="Times New Roman" w:hAnsi="Times New Roman" w:eastAsia="Times New Roman" w:cs="Times New Roman"/>
          <w:color w:val="000000"/>
          <w:sz w:val="24"/>
        </w:rPr>
        <w:t xml:space="preserve">, 564 U.S. 211, 220 (2011). Should the Court view the matter differently, ordinary third-party standing doctrine would independently support Mr. Bernecky’s ability to raise this claim, given the close relationship between his own compliance and the employer’s cooperation, and the genuine, non-tactical hindrance an employer faces in litigating its own Fourth Amendment interests inside someone else’s federal criminal case.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See Powers v. Ohio</w:t>
      </w:r>
      <w:r>
        <w:rPr>
          <w:rFonts w:ascii="Times New Roman" w:hAnsi="Times New Roman" w:eastAsia="Times New Roman" w:cs="Times New Roman"/>
          <w:color w:val="000000"/>
          <w:sz w:val="24"/>
        </w:rPr>
        <w:t xml:space="preserve">, 499 U.S. 400 (1991);</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Kowalski v. Tesmer</w:t>
      </w:r>
      <w:r>
        <w:rPr>
          <w:rFonts w:ascii="Times New Roman" w:hAnsi="Times New Roman" w:eastAsia="Times New Roman" w:cs="Times New Roman"/>
          <w:color w:val="000000"/>
          <w:sz w:val="24"/>
        </w:rPr>
        <w:t xml:space="preserve">, 543 U.S. 125 (2004);</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Singleton v. Wulff</w:t>
      </w:r>
      <w:r>
        <w:rPr>
          <w:rFonts w:ascii="Times New Roman" w:hAnsi="Times New Roman" w:eastAsia="Times New Roman" w:cs="Times New Roman"/>
          <w:color w:val="000000"/>
          <w:sz w:val="24"/>
        </w:rPr>
        <w:t xml:space="preserve">, 428 U.S. 106 (1976);</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Warth v. Seldin</w:t>
      </w:r>
      <w:r>
        <w:rPr>
          <w:rFonts w:ascii="Times New Roman" w:hAnsi="Times New Roman" w:eastAsia="Times New Roman" w:cs="Times New Roman"/>
          <w:color w:val="000000"/>
          <w:sz w:val="24"/>
        </w:rPr>
        <w:t xml:space="preserve">, 422 U.S. 490 (1975).</w:t>
      </w:r>
    </w:p>
    <w:p>
      <w:pPr>
        <w:pStyle w:val="BodyText"/>
        <w:spacing w:line="480" w:lineRule="auto" w:before="0" w:after="0"/>
        <w:ind w:firstLine="720"/>
      </w:pPr>
      <w:r>
        <w:rPr>
          <w:bCs/>
          <w:rFonts w:ascii="Times New Roman" w:hAnsi="Times New Roman" w:eastAsia="Times New Roman" w:cs="Times New Roman"/>
          <w:b/>
          <w:color w:val="000000"/>
          <w:sz w:val="24"/>
        </w:rPr>
        <w:t xml:space="preserve">4. The condition’s own text already embraces a capability limit; it should be applied consistently, and third-party devices should be excluded outright rather than monitored.</w:t>
      </w:r>
    </w:p>
    <w:p>
      <w:pPr>
        <w:pStyle w:val="BodyText"/>
        <w:spacing w:line="480" w:lineRule="auto" w:before="0" w:after="0"/>
        <w:ind w:firstLine="720"/>
      </w:pPr>
      <w:r>
        <w:rPr>
          <w:rFonts w:ascii="Times New Roman" w:hAnsi="Times New Roman" w:eastAsia="Times New Roman" w:cs="Times New Roman"/>
          <w:color w:val="000000"/>
          <w:sz w:val="24"/>
        </w:rPr>
        <w:t xml:space="preserve">The CIMP condition opens with a capability qualifier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any internet capable device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but the separate monitoring-authorization clause drops that qualifier and instead reaches any device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owned or operated by the defendant.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Restoring internal consistency to the condition’s own drafting logic, calibrated to the capability actually implicated by this offense (the ability to access, store, or display images, not internet access generally), is not a request to import a foreign concept — it is a request that the condition mean, throughout, what its own opening sentence already says. Multiple circuits have accepted device-capability thresholds of exactly this kind in place of undifferentiated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any device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language.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E.g.</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Rath</w:t>
      </w:r>
      <w:r>
        <w:rPr>
          <w:rFonts w:ascii="Times New Roman" w:hAnsi="Times New Roman" w:eastAsia="Times New Roman" w:cs="Times New Roman"/>
          <w:color w:val="000000"/>
          <w:sz w:val="24"/>
        </w:rPr>
        <w:t xml:space="preserve">, No. 14-51059, 2015 WL 3559160 (5th Cir. June 8, 2015) (device permitted for school or work</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as long as the computer is not capable of Internet access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Ullman</w:t>
      </w:r>
      <w:r>
        <w:rPr>
          <w:rFonts w:ascii="Times New Roman" w:hAnsi="Times New Roman" w:eastAsia="Times New Roman" w:cs="Times New Roman"/>
          <w:color w:val="000000"/>
          <w:sz w:val="24"/>
        </w:rPr>
        <w:t xml:space="preserve">, No. 14-1414, 2015 WL 3559221 (10th Cir. June 8, 2015)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devices without Internet access, such as gaming systems, are not restricted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w:t>
      </w:r>
    </w:p>
    <w:p>
      <w:pPr>
        <w:pStyle w:val="BodyText"/>
        <w:spacing w:line="480" w:lineRule="auto" w:before="0" w:after="0"/>
        <w:ind w:firstLine="720"/>
      </w:pPr>
      <w:r>
        <w:rPr>
          <w:rFonts w:ascii="Times New Roman" w:hAnsi="Times New Roman" w:eastAsia="Times New Roman" w:cs="Times New Roman"/>
          <w:color w:val="000000"/>
          <w:sz w:val="24"/>
        </w:rPr>
        <w:t xml:space="preserve">Nearly all offenses of this kind occur in one place — a private residence — on devices capable of locating, retrieving, and displaying image content. The crime is not committed at a coffee shop, or while walking through a grocery store, or on a co-worker’s telephone. Monitoring authority should track that reality. It is entirely sufficient, and considerably less intrusive, to prohibit Mr. Bernecky outright from using a device he does not own, rather than to authorize monitoring, inspection, or capability-parity demands directed at a third party’s property. A flat prohibition on using another person’s device achieves the government’s interest at zero cost to any non-party, and avoids the ultra vires and standing problems discussed above entirely.</w:t>
      </w:r>
    </w:p>
    <w:p>
      <w:pPr>
        <w:pStyle w:val="BodyText"/>
        <w:spacing w:line="480" w:lineRule="auto" w:before="0" w:after="0"/>
      </w:pPr>
      <w:r>
        <w:rPr>
          <w:bCs/>
          <w:rFonts w:ascii="Times New Roman" w:hAnsi="Times New Roman" w:eastAsia="Times New Roman" w:cs="Times New Roman"/>
          <w:b/>
          <w:color w:val="000000"/>
          <w:sz w:val="24"/>
        </w:rPr>
        <w:t xml:space="preserve">5. Requested relief.</w:t>
      </w:r>
    </w:p>
    <w:p>
      <w:pPr>
        <w:pStyle w:val="BodyText"/>
        <w:spacing w:line="480" w:lineRule="auto" w:before="0" w:after="0"/>
        <w:ind w:firstLine="720"/>
      </w:pPr>
      <w:r>
        <w:rPr>
          <w:rFonts w:ascii="Times New Roman" w:hAnsi="Times New Roman" w:eastAsia="Times New Roman" w:cs="Times New Roman"/>
          <w:color w:val="000000"/>
          <w:sz w:val="24"/>
        </w:rPr>
        <w:t xml:space="preserve">The Court should enter an order clarifying and, to the extent necessary, modifying Special Condition (a) to provide: (i) that Special Condition (a) confers no authority over an employer’s own systems and imposes no obligation on any employer to demonstrate anything about its own monitoring capability — there is no employer monitoring under this condition, and Mr. Bernecky’s voluntary disclosure of his conviction to the employer, which he has already made, is more than the condition could ever require of him with respect to an employer; (ii) that the devices actually subject to monitoring are limited to those Mr. Bernecky owns and keeps or brings to his residence that are capable of accessing, storing, or displaying image content, consistent with the condition’s own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internet capable device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language; and (iii) that Mr. Bernecky is prohibited from using another person’s personal device, in lieu of any monitoring or capability-parity demand directed at that person’s property. The clarification requested in (i) is the relief that matters most: Mr. Bernecky should never be placed in a position of having to choose between disclosing his conviction to an employer and asking that employer to permit monitoring of its own systems, because neither is owed at all.</w:t>
      </w:r>
    </w:p>
    <w:bookmarkEnd w:id="24"/>
    <w:bookmarkStart w:id="25" w:name="X2860ea8be6779c9942acab72e359741a47debee"/>
    <w:p>
      <w:pPr>
        <w:pStyle w:val="Heading3"/>
        <w:spacing w:line="480" w:lineRule="auto" w:before="0" w:after="0"/>
      </w:pPr>
      <w:r>
        <w:rPr>
          <w:rFonts w:ascii="Times New Roman" w:hAnsi="Times New Roman" w:eastAsia="Times New Roman" w:cs="Times New Roman"/>
          <w:b/>
          <w:color w:val="000000"/>
          <w:sz w:val="24"/>
        </w:rPr>
        <w:t xml:space="preserve">B. The Court Should Narrow CIMP’s Monitoring Method to Exclude Indiscriminate Keystroke-Level Logging</w:t>
      </w:r>
    </w:p>
    <w:p>
      <w:pPr>
        <w:pStyle w:val="FirstParagraph"/>
        <w:spacing w:line="480" w:lineRule="auto" w:before="0" w:after="0"/>
        <w:ind w:firstLine="720"/>
      </w:pPr>
      <w:r>
        <w:rPr>
          <w:rFonts w:ascii="Times New Roman" w:hAnsi="Times New Roman" w:eastAsia="Times New Roman" w:cs="Times New Roman"/>
          <w:color w:val="000000"/>
          <w:sz w:val="24"/>
        </w:rPr>
        <w:t xml:space="preserve">The CIMP condition already contains a privilege-protection clause: monitoring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shall be designed to avoid, as much as possible, reading any privileged information or any private material that is not illegal.</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Kunz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construed this identical clause and held it a real, judicially enforceable constraint on Probation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constrains the supervisors in their surveillance . . . by requiring them not to abuse their power and access,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not surplusage. 68 F.4th at 766-67. Keystroke-level logging, which by definition captures every character typed — including privileged attorney-client communications, before any determination of privilege is even possible — cannot be reconciled with a monitoring method the condition’s own text requires to avoid reading such material. The point is not that no privilege protection exists; it is that keystroke-level capture, as a category, is incapable of honoring the protection the Judgment already promises.</w:t>
      </w:r>
    </w:p>
    <w:p>
      <w:pPr>
        <w:pStyle w:val="BodyText"/>
        <w:spacing w:line="480" w:lineRule="auto" w:before="0" w:after="0"/>
        <w:ind w:firstLine="720"/>
      </w:pPr>
      <w:r>
        <w:rPr>
          <w:rFonts w:ascii="Times New Roman" w:hAnsi="Times New Roman" w:eastAsia="Times New Roman" w:cs="Times New Roman"/>
          <w:color w:val="000000"/>
          <w:sz w:val="24"/>
        </w:rPr>
        <w:t xml:space="preserve">The narrowing this argument seeks has direct support in this Circuit’s own case law concerning this exact offense type. In</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Sofsky</w:t>
      </w:r>
      <w:r>
        <w:rPr>
          <w:rFonts w:ascii="Times New Roman" w:hAnsi="Times New Roman" w:eastAsia="Times New Roman" w:cs="Times New Roman"/>
          <w:color w:val="000000"/>
          <w:sz w:val="24"/>
        </w:rPr>
        <w:t xml:space="preserve">, 287 F.3d 122, 126-27 (2d Cir. 2002), this Circuit held that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 more focused restriction, limited to pornography sites and images,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is an adequate, narrower alternative for an image-based offense. And in</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Lifshitz</w:t>
      </w:r>
      <w:r>
        <w:rPr>
          <w:rFonts w:ascii="Times New Roman" w:hAnsi="Times New Roman" w:eastAsia="Times New Roman" w:cs="Times New Roman"/>
          <w:color w:val="000000"/>
          <w:sz w:val="24"/>
        </w:rPr>
        <w:t xml:space="preserve">, 369 F.3d 173, 192 (2d Cir. 2004), this Circuit itself observed that constant, content-blind monitoring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might be more like searching [a defendant’s] diary . . . than . . . the highly targeted diagnosis accomplished by drug testing,</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 on remand — specifically approved keyword- or phrase-triggered monitoring as a narrower alternative to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recording all varieties of computer-related activity.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at 193 n.11. Mr. Bernecky’s offense is entirely pictorial; unlike a computer-fraud or communications-based offense, in which the content of what was typed is itself the legally significant conduct, nothing about image-based possession justifies capturing the content of everything he writes.</w:t>
      </w:r>
    </w:p>
    <w:p>
      <w:pPr>
        <w:pStyle w:val="BodyText"/>
        <w:spacing w:line="480" w:lineRule="auto" w:before="0" w:after="0"/>
        <w:ind w:firstLine="720"/>
      </w:pPr>
      <w:r>
        <w:rPr>
          <w:rFonts w:ascii="Times New Roman" w:hAnsi="Times New Roman" w:eastAsia="Times New Roman" w:cs="Times New Roman"/>
          <w:color w:val="000000"/>
          <w:sz w:val="24"/>
        </w:rPr>
        <w:t xml:space="preserve">The Court should modify Special Condition (a) to require that CIMP be implemented through a method — domain- or file-type review, image-hash scanning, or keyword-triggered flagging of the kind</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Lifshitz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itself approved — that does not indiscriminately capture privileged or non-image content, rather than through full keystroke capture.</w:t>
      </w:r>
    </w:p>
    <w:bookmarkEnd w:id="25"/>
    <w:bookmarkStart w:id="26" w:name="X31ad0b71c690e71cbde5c04fccf2a5a0f7d2c66"/>
    <w:p>
      <w:pPr>
        <w:pStyle w:val="Heading3"/>
        <w:spacing w:line="480" w:lineRule="auto" w:before="0" w:after="0"/>
      </w:pPr>
      <w:r>
        <w:rPr>
          <w:rFonts w:ascii="Times New Roman" w:hAnsi="Times New Roman" w:eastAsia="Times New Roman" w:cs="Times New Roman"/>
          <w:b/>
          <w:color w:val="000000"/>
          <w:sz w:val="24"/>
        </w:rPr>
        <w:t xml:space="preserve">C. The Treatment Provider’s Own Rules Cannot Exceed What the Court Itself Ordered</w:t>
      </w:r>
    </w:p>
    <w:p>
      <w:pPr>
        <w:pStyle w:val="FirstParagraph"/>
        <w:spacing w:line="480" w:lineRule="auto" w:before="0" w:after="0"/>
        <w:ind w:firstLine="720"/>
      </w:pPr>
      <w:r>
        <w:rPr>
          <w:rFonts w:ascii="Times New Roman" w:hAnsi="Times New Roman" w:eastAsia="Times New Roman" w:cs="Times New Roman"/>
          <w:color w:val="000000"/>
          <w:sz w:val="24"/>
        </w:rPr>
        <w:t xml:space="preserve">Special Condition (b) requires Mr. Bernecky to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follow the rules and regulations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of a sex-offense-specific treatment program, without any court-set limit on what those rules may contain. Only the sentencing court may impose restrictions on a defendant’s liberty as a condition of supervised release; that authority cannot be delegated wholesale to a private provider.</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Matta</w:t>
      </w:r>
      <w:r>
        <w:rPr>
          <w:rFonts w:ascii="Times New Roman" w:hAnsi="Times New Roman" w:eastAsia="Times New Roman" w:cs="Times New Roman"/>
          <w:color w:val="000000"/>
          <w:sz w:val="24"/>
        </w:rPr>
        <w:t xml:space="preserve">, 777 F.3d at 122. The controlling illustration is squarely on point: in</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Browder</w:t>
      </w:r>
      <w:r>
        <w:rPr>
          <w:rFonts w:ascii="Times New Roman" w:hAnsi="Times New Roman" w:eastAsia="Times New Roman" w:cs="Times New Roman"/>
          <w:color w:val="000000"/>
          <w:sz w:val="24"/>
        </w:rPr>
        <w:t xml:space="preserve">, a treatment provider’s own participant agreement required advance permission before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any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contact with minors, including the defendant’s own children — exceeding the sentence the court had actually imposed, which expressly excluded his own children from that restriction. The Second Circuit held the provider’s rule unenforceable: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the Probation Office was plainly without power to impose it.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866 F.3d at 514. Mr. Bernecky’s concern is the same in kind: a program category the court did order, whose specific, unreviewable content is set entirely by the provider.</w:t>
      </w:r>
    </w:p>
    <w:p>
      <w:pPr>
        <w:pStyle w:val="BodyText"/>
        <w:spacing w:line="480" w:lineRule="auto" w:before="0" w:after="0"/>
        <w:ind w:firstLine="720"/>
      </w:pPr>
      <w:r>
        <w:rPr>
          <w:rFonts w:ascii="Times New Roman" w:hAnsi="Times New Roman" w:eastAsia="Times New Roman" w:cs="Times New Roman"/>
          <w:color w:val="000000"/>
          <w:sz w:val="24"/>
        </w:rPr>
        <w:t xml:space="preserve">The Court should enter clarifying language establishing that Mr. Bernecky cannot be found in violation of supervised release for declining to comply with a provider rule that exceeds the scope of what this Court itself ordered.</w:t>
      </w:r>
    </w:p>
    <w:p>
      <w:pPr>
        <w:pStyle w:val="BodyText"/>
        <w:spacing w:line="480" w:lineRule="auto" w:before="0" w:after="0"/>
        <w:ind w:firstLine="720"/>
      </w:pPr>
      <w:r>
        <w:rPr>
          <w:rFonts w:ascii="Times New Roman" w:hAnsi="Times New Roman" w:eastAsia="Times New Roman" w:cs="Times New Roman"/>
          <w:color w:val="000000"/>
          <w:sz w:val="24"/>
        </w:rPr>
        <w:t xml:space="preserve">One further point belongs here, offered as principle rather than as an independent legal claim. Cognitive-behavioral therapy is a legitimate and valuable treatment modality. Using continuous CIMP surveillance data as raw material for a provider’s effort to reshape a specific thought pattern is a different thing, and it is not what CBT is meant to be used for. The Constitution has long recognized that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no official . . . can prescribe what shall be orthodox . . . in matters of opinion.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West Virginia State Bd. of Educ. v. Barnette</w:t>
      </w:r>
      <w:r>
        <w:rPr>
          <w:rFonts w:ascii="Times New Roman" w:hAnsi="Times New Roman" w:eastAsia="Times New Roman" w:cs="Times New Roman"/>
          <w:color w:val="000000"/>
          <w:sz w:val="24"/>
        </w:rPr>
        <w:t xml:space="preserve">, 319 U.S. 624, 642 (1943). Mr. Bernecky does not ask the Court to revive a possessory right to obscene material of the kind</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Stanley v. Georgia</w:t>
      </w:r>
      <w:r>
        <w:rPr>
          <w:rFonts w:ascii="Times New Roman" w:hAnsi="Times New Roman" w:eastAsia="Times New Roman" w:cs="Times New Roman"/>
          <w:color w:val="000000"/>
          <w:sz w:val="24"/>
        </w:rPr>
        <w:t xml:space="preserve">, 394 U.S. 557 (1969), addressed and</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Osborne v. Ohio</w:t>
      </w:r>
      <w:r>
        <w:rPr>
          <w:rFonts w:ascii="Times New Roman" w:hAnsi="Times New Roman" w:eastAsia="Times New Roman" w:cs="Times New Roman"/>
          <w:color w:val="000000"/>
          <w:sz w:val="24"/>
        </w:rPr>
        <w:t xml:space="preserve">, 495 U.S. 103 (1990), correctly declined to extend to child pornography, given the harm to real children and the government’s interest in destroying the market for such material. His concern is different: no court has ever authorized this specific surveillance-to-treatment mechanism, and that lack of authorization — not a claim about the content of his thoughts — is what the delegation principle set out above already reaches.</w:t>
      </w:r>
    </w:p>
    <w:bookmarkEnd w:id="26"/>
    <w:bookmarkStart w:id="27" w:name="Xd3d4184a5b0073ccde123bf8994834c1a4ab14e"/>
    <w:p>
      <w:pPr>
        <w:pStyle w:val="Heading3"/>
        <w:spacing w:line="480" w:lineRule="auto" w:before="0" w:after="0"/>
      </w:pPr>
      <w:r>
        <w:rPr>
          <w:rFonts w:ascii="Times New Roman" w:hAnsi="Times New Roman" w:eastAsia="Times New Roman" w:cs="Times New Roman"/>
          <w:b/>
          <w:color w:val="000000"/>
          <w:sz w:val="24"/>
        </w:rPr>
        <w:t xml:space="preserve">D. The Family-Contact Condition, as Written, Functions as a</w:t>
      </w:r>
      <w:r>
        <w:rPr>
          <w:rFonts w:ascii="Times New Roman" w:hAnsi="Times New Roman" w:eastAsia="Times New Roman" w:cs="Times New Roman"/>
          <w:b/>
          <w:color w:val="000000"/>
          <w:sz w:val="24"/>
        </w:rPr>
        <w:t xml:space="preserve"> </w:t>
      </w:r>
      <w:r>
        <w:rPr>
          <w:iCs/>
          <w:rFonts w:ascii="Times New Roman" w:hAnsi="Times New Roman" w:eastAsia="Times New Roman" w:cs="Times New Roman"/>
          <w:b/>
          <w:i/>
          <w:color w:val="000000"/>
          <w:sz w:val="24"/>
        </w:rPr>
        <w:t xml:space="preserve">De Facto</w:t>
      </w:r>
      <w:r>
        <w:rPr>
          <w:rFonts w:ascii="Times New Roman" w:hAnsi="Times New Roman" w:eastAsia="Times New Roman" w:cs="Times New Roman"/>
          <w:b/>
          <w:color w:val="000000"/>
          <w:sz w:val="24"/>
        </w:rPr>
        <w:t xml:space="preserve"> </w:t>
      </w:r>
      <w:r>
        <w:rPr>
          <w:rFonts w:ascii="Times New Roman" w:hAnsi="Times New Roman" w:eastAsia="Times New Roman" w:cs="Times New Roman"/>
          <w:b/>
          <w:color w:val="000000"/>
          <w:sz w:val="24"/>
        </w:rPr>
        <w:t xml:space="preserve">Ban on Ordinary Family Life</w:t>
      </w:r>
    </w:p>
    <w:p>
      <w:pPr>
        <w:pStyle w:val="FirstParagraph"/>
        <w:spacing w:line="480" w:lineRule="auto" w:before="0" w:after="0"/>
        <w:ind w:firstLine="720"/>
      </w:pPr>
      <w:r>
        <w:rPr>
          <w:rFonts w:ascii="Times New Roman" w:hAnsi="Times New Roman" w:eastAsia="Times New Roman" w:cs="Times New Roman"/>
          <w:color w:val="000000"/>
          <w:sz w:val="24"/>
        </w:rPr>
        <w:t xml:space="preserve">Special Condition (c) prohibits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deliberate contact with any child under 18 years of age, excluding his biological or adopted children.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Mr. Bernecky has no biological or adopted children; the only carve-out the condition provides has always been, and remains, a null set.</w:t>
      </w:r>
    </w:p>
    <w:p>
      <w:pPr>
        <w:pStyle w:val="BodyText"/>
        <w:spacing w:line="480" w:lineRule="auto" w:before="0" w:after="0"/>
        <w:ind w:firstLine="720"/>
      </w:pPr>
      <w:r>
        <w:rPr>
          <w:rFonts w:ascii="Times New Roman" w:hAnsi="Times New Roman" w:eastAsia="Times New Roman" w:cs="Times New Roman"/>
          <w:color w:val="000000"/>
          <w:sz w:val="24"/>
        </w:rPr>
        <w:t xml:space="preserve">The practical effect of that null carve-out is not narrow. It is not simply that Mr. Bernecky cannot see a specific niece or nephew without advance approval. It is that he cannot attend an ordinary family gathering at all, because he cannot know in advance whether a minor family member will be present, and the condition gives him no way to find out safely. If Mr. Bernecky stops by his mother’s house for Christmas and his sister arrives with her children, he is, on the condition’s literal terms, already in violation unless he leaves immediately — not because anyone has ever found him a danger to those children, but because the condition does not distinguish an unplanned family visit from the conduct the sentencing court was actually trying to prevent. The same is true if his grandchildren stop by unannounced. No finding anywhere in this Judgment addresses whether Mr. Bernecky poses a physical danger to any specific family member, and none addresses whether ordinary, incidental presence at family events — as opposed to some other kind of contact — presents any risk at all. What the condition actually does, in practice, is force Mr. Bernecky to choose between avoiding his own family’s ordinary life altogether and risking a violation for conduct no one has ever evaluated.</w:t>
      </w:r>
    </w:p>
    <w:p>
      <w:pPr>
        <w:pStyle w:val="BodyText"/>
        <w:spacing w:line="480" w:lineRule="auto" w:before="0" w:after="0"/>
        <w:ind w:firstLine="720"/>
      </w:pPr>
      <w:r>
        <w:rPr>
          <w:rFonts w:ascii="Times New Roman" w:hAnsi="Times New Roman" w:eastAsia="Times New Roman" w:cs="Times New Roman"/>
          <w:color w:val="000000"/>
          <w:sz w:val="24"/>
        </w:rPr>
        <w:t xml:space="preserve">This is precisely the kind of intrusion into familial association the Constitution protects against absent an individualized basis.</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See Moore v. City of East Cleveland</w:t>
      </w:r>
      <w:r>
        <w:rPr>
          <w:rFonts w:ascii="Times New Roman" w:hAnsi="Times New Roman" w:eastAsia="Times New Roman" w:cs="Times New Roman"/>
          <w:color w:val="000000"/>
          <w:sz w:val="24"/>
        </w:rPr>
        <w:t xml:space="preserve">, 431 U.S. 494 (1977) (protecting the choice to live with extended family as a fundamental liberty interest). This district’s own case law requires an individualized basis for a restriction of this breadth.</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Myers</w:t>
      </w:r>
      <w:r>
        <w:rPr>
          <w:rFonts w:ascii="Times New Roman" w:hAnsi="Times New Roman" w:eastAsia="Times New Roman" w:cs="Times New Roman"/>
          <w:color w:val="000000"/>
          <w:sz w:val="24"/>
        </w:rPr>
        <w:t xml:space="preserve">, 426 F.3d 117, 129-30 (2d Cir. 2005) (heightened scrutiny and an individualized record required for restrictions on familial association).</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Bleau</w:t>
      </w:r>
      <w:r>
        <w:rPr>
          <w:rFonts w:ascii="Times New Roman" w:hAnsi="Times New Roman" w:eastAsia="Times New Roman" w:cs="Times New Roman"/>
          <w:color w:val="000000"/>
          <w:sz w:val="24"/>
        </w:rPr>
        <w:t xml:space="preserve">, 930 F.3d 35, 43 (2d Cir. 2019), confirms that a court must explain the necessity of a contact-with-minors condition unless obvious from the record — candidly, Mr. Bernecky’s recidivist history is a real distinguishing fact from</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Bleau</w:t>
      </w:r>
      <w:r>
        <w:rPr>
          <w:rFonts w:ascii="Times New Roman" w:hAnsi="Times New Roman" w:eastAsia="Times New Roman" w:cs="Times New Roman"/>
          <w:color w:val="000000"/>
          <w:sz w:val="24"/>
        </w:rPr>
        <w:t xml:space="preserve">’s clean-record defendant, and this motion does not ask the Court to overlook it. It asks, instead, for a structure that accounts for it: contact with minor family members permitted in the presence of a knowledgeable adult — his mother, father, or sister, all of whom already know of his conviction — so that an ordinary family gathering does not require case-by-case advance approval, or an unplanned departure, every time a minor family member happens to be there. Other circuits have recognized precisely this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knowledgeable adult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structure as an accepted, workable condition.</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See United States v. DaSilva</w:t>
      </w:r>
      <w:r>
        <w:rPr>
          <w:rFonts w:ascii="Times New Roman" w:hAnsi="Times New Roman" w:eastAsia="Times New Roman" w:cs="Times New Roman"/>
          <w:color w:val="000000"/>
          <w:sz w:val="24"/>
        </w:rPr>
        <w:t xml:space="preserve">, 844 F.3d 8 (1st Cir. 2016). And while Mr. Bernecky’s sister having children during his incarceration is not, by itself, the whole of this argument, it is a genuine changed circumstance under</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Lussier</w:t>
      </w:r>
      <w:r>
        <w:rPr>
          <w:rFonts w:ascii="Times New Roman" w:hAnsi="Times New Roman" w:eastAsia="Times New Roman" w:cs="Times New Roman"/>
          <w:color w:val="000000"/>
          <w:sz w:val="24"/>
        </w:rPr>
        <w:t xml:space="preserve">’s own terms: the specific family members whose presence at ordinary gatherings gives rise to this problem did not exist, and could not have been the subject of any individualized finding, at the time of sentencing.</w:t>
      </w:r>
    </w:p>
    <w:p>
      <w:pPr>
        <w:pStyle w:val="BodyText"/>
        <w:spacing w:line="480" w:lineRule="auto" w:before="0" w:after="0"/>
        <w:ind w:firstLine="720"/>
      </w:pPr>
      <w:r>
        <w:rPr>
          <w:rFonts w:ascii="Times New Roman" w:hAnsi="Times New Roman" w:eastAsia="Times New Roman" w:cs="Times New Roman"/>
          <w:color w:val="000000"/>
          <w:sz w:val="24"/>
        </w:rPr>
        <w:t xml:space="preserve">Finally, this condition should be clarified, consistent with the theme of Part A above, to state expressly that it creates no occupational restriction: ordinary, incidental workplace contact with a minor — a coworker who is seventeen, a customer in the course of Mr. Bernecky’s duties — is not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deliberate contact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requiring advance approval or removal from the situation.</w:t>
      </w:r>
    </w:p>
    <w:bookmarkEnd w:id="27"/>
    <w:bookmarkStart w:id="28" w:name="Xb2762108858f7b2c0040463bf56f22ce2e26197"/>
    <w:p>
      <w:pPr>
        <w:pStyle w:val="Heading3"/>
        <w:spacing w:line="480" w:lineRule="auto" w:before="0" w:after="0"/>
      </w:pPr>
      <w:r>
        <w:rPr>
          <w:rFonts w:ascii="Times New Roman" w:hAnsi="Times New Roman" w:eastAsia="Times New Roman" w:cs="Times New Roman"/>
          <w:b/>
          <w:color w:val="000000"/>
          <w:sz w:val="24"/>
        </w:rPr>
        <w:t xml:space="preserve">E. The Polygraph Condition Requires Real Procedural Protection, Not Merely a Later Opportunity to Object</w:t>
      </w:r>
    </w:p>
    <w:p>
      <w:pPr>
        <w:pStyle w:val="FirstParagraph"/>
        <w:spacing w:line="480" w:lineRule="auto" w:before="0" w:after="0"/>
      </w:pPr>
      <w:r>
        <w:rPr>
          <w:bCs/>
          <w:rFonts w:ascii="Times New Roman" w:hAnsi="Times New Roman" w:eastAsia="Times New Roman" w:cs="Times New Roman"/>
          <w:b/>
          <w:color w:val="000000"/>
          <w:sz w:val="24"/>
        </w:rPr>
        <w:t xml:space="preserve">1. The Judgment’s model does not resolve Mr. Bernecky’s actual objection.</w:t>
      </w:r>
    </w:p>
    <w:p>
      <w:pPr>
        <w:pStyle w:val="BodyText"/>
        <w:spacing w:line="480" w:lineRule="auto" w:before="0" w:after="0"/>
        <w:ind w:firstLine="720"/>
      </w:pPr>
      <w:r>
        <w:rPr>
          <w:rFonts w:ascii="Times New Roman" w:hAnsi="Times New Roman" w:eastAsia="Times New Roman" w:cs="Times New Roman"/>
          <w:color w:val="000000"/>
          <w:sz w:val="24"/>
        </w:rPr>
        <w:t xml:space="preserve">The Judgment permits Mr. Bernecky to challenge, after the fact, the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use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of a polygraph statement as a Fifth Amendment violation; it does not permit him to decline to answer in the first instance. In</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Johnson</w:t>
      </w:r>
      <w:r>
        <w:rPr>
          <w:rFonts w:ascii="Times New Roman" w:hAnsi="Times New Roman" w:eastAsia="Times New Roman" w:cs="Times New Roman"/>
          <w:color w:val="000000"/>
          <w:sz w:val="24"/>
        </w:rPr>
        <w:t xml:space="preserve">, 446 F.3d 272 (2d Cir. 2006), this Circuit upheld exactly that structure — but only against the narrow immunity/waiver theory Johnson himself raised, on facts specific to Johnson’s own documented history of resisting honest self-assessment. Johnson never addressed, and never had occasion to address, either of Mr. Bernecky’s actual objections: that determining whether a specific question is privileged is a pure question of law a layperson cannot reliably apply under pressure in real time, or that a blanket, prospective refusal to answer</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any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question absent protections is a materially different posture than answering and later challenging use of the answer. Mr. Bernecky presents no comparable predicate of documented dishonesty, and carries materially higher stakes given his record of prior sex-offense-related dispositions.</w:t>
      </w:r>
    </w:p>
    <w:p>
      <w:pPr>
        <w:pStyle w:val="BodyText"/>
        <w:spacing w:line="480" w:lineRule="auto" w:before="0" w:after="0"/>
        <w:ind w:firstLine="720"/>
      </w:pPr>
      <w:r>
        <w:rPr>
          <w:rFonts w:ascii="Times New Roman" w:hAnsi="Times New Roman" w:eastAsia="Times New Roman" w:cs="Times New Roman"/>
          <w:color w:val="000000"/>
          <w:sz w:val="24"/>
        </w:rPr>
        <w:t xml:space="preserve">Properly understood,</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Minnesota v. Murphy</w:t>
      </w:r>
      <w:r>
        <w:rPr>
          <w:rFonts w:ascii="Times New Roman" w:hAnsi="Times New Roman" w:eastAsia="Times New Roman" w:cs="Times New Roman"/>
          <w:color w:val="000000"/>
          <w:sz w:val="24"/>
        </w:rPr>
        <w:t xml:space="preserv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classic penalty situation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doctrine does the real work here: if the State,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either expressly or by implication, asserts that invocation of the privilege would lead to revocation of probation, it would have created the classic penalty situation,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the resulting statement is compelled. 465 U.S. 420, 435 (1984). A condition that requires Mr. Bernecky to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answer the questions posed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full stop, before any privilege determination — asserts exactly that.</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United States v. Von Behren</w:t>
      </w:r>
      <w:r>
        <w:rPr>
          <w:rFonts w:ascii="Times New Roman" w:hAnsi="Times New Roman" w:eastAsia="Times New Roman" w:cs="Times New Roman"/>
          <w:color w:val="000000"/>
          <w:sz w:val="24"/>
        </w:rPr>
        <w:t xml:space="preserve">, 822 F.3d 1139 (10th Cir. 2016), applies this same doctrine to a materially similar sex-offense polygraph and holds that a threat of program termination and revocation for refusing incriminating questions is unconstitutional compulsion.</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Id.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at 1150-51. The privilege reaches not only direct confessions but any answer that would furnish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 link in the chain of evidence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needed to prosecute.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Hoffman v. United States</w:t>
      </w:r>
      <w:r>
        <w:rPr>
          <w:rFonts w:ascii="Times New Roman" w:hAnsi="Times New Roman" w:eastAsia="Times New Roman" w:cs="Times New Roman"/>
          <w:color w:val="000000"/>
          <w:sz w:val="24"/>
        </w:rPr>
        <w:t xml:space="preserve">, 341 U.S. 479, 486 (1951).</w:t>
      </w:r>
    </w:p>
    <w:p>
      <w:pPr>
        <w:pStyle w:val="BodyText"/>
        <w:spacing w:line="480" w:lineRule="auto" w:before="0" w:after="0"/>
      </w:pPr>
      <w:r>
        <w:rPr>
          <w:bCs/>
          <w:rFonts w:ascii="Times New Roman" w:hAnsi="Times New Roman" w:eastAsia="Times New Roman" w:cs="Times New Roman"/>
          <w:b/>
          <w:color w:val="000000"/>
          <w:sz w:val="24"/>
        </w:rPr>
        <w:t xml:space="preserve">2. The requested protections.</w:t>
      </w:r>
    </w:p>
    <w:p>
      <w:pPr>
        <w:pStyle w:val="BodyText"/>
        <w:spacing w:line="480" w:lineRule="auto" w:before="0" w:after="0"/>
        <w:ind w:firstLine="720"/>
      </w:pPr>
      <w:r>
        <w:rPr>
          <w:rFonts w:ascii="Times New Roman" w:hAnsi="Times New Roman" w:eastAsia="Times New Roman" w:cs="Times New Roman"/>
          <w:color w:val="000000"/>
          <w:sz w:val="24"/>
        </w:rPr>
        <w:t xml:space="preserve">Mr. Bernecky requests that, until and unless each of the following is in place, he is entitled to decline to answer any polygraph or other quasi-scientific examination question:</w:t>
      </w:r>
    </w:p>
    <w:p>
      <w:pPr>
        <w:numPr>
          <w:ilvl w:val="0"/>
          <w:numId w:val="1001"/>
        </w:numPr>
        <w:spacing w:line="480" w:lineRule="auto" w:before="0" w:after="0"/>
      </w:pPr>
      <w:r>
        <w:rPr>
          <w:rFonts w:ascii="Times New Roman" w:hAnsi="Times New Roman" w:eastAsia="Times New Roman" w:cs="Times New Roman"/>
          <w:color w:val="000000"/>
          <w:sz w:val="24"/>
        </w:rPr>
        <w:t xml:space="preserve">appointed counsel present before, during, and after any such examination;</w:t>
      </w:r>
    </w:p>
    <w:p>
      <w:pPr>
        <w:numPr>
          <w:ilvl w:val="0"/>
          <w:numId w:val="1001"/>
        </w:numPr>
        <w:spacing w:line="480" w:lineRule="auto" w:before="0" w:after="0"/>
        <w:ind w:firstLine="720"/>
      </w:pPr>
      <w:r>
        <w:rPr>
          <w:rFonts w:ascii="Times New Roman" w:hAnsi="Times New Roman" w:eastAsia="Times New Roman" w:cs="Times New Roman"/>
          <w:color w:val="000000"/>
          <w:sz w:val="24"/>
        </w:rPr>
        <w:t xml:space="preserve">counsel afforded adequate time, per question, to assess whether invocation is warranted — a determination of law, not one a layperson can be expected to make correctly under pressure;</w:t>
      </w:r>
    </w:p>
    <w:p>
      <w:pPr>
        <w:numPr>
          <w:ilvl w:val="0"/>
          <w:numId w:val="1001"/>
        </w:numPr>
        <w:spacing w:line="480" w:lineRule="auto" w:before="0" w:after="0"/>
      </w:pPr>
      <w:r>
        <w:rPr>
          <w:rFonts w:ascii="Times New Roman" w:hAnsi="Times New Roman" w:eastAsia="Times New Roman" w:cs="Times New Roman"/>
          <w:color w:val="000000"/>
          <w:sz w:val="24"/>
        </w:rPr>
        <w:t xml:space="preserve">the examiner’s credentials established to a degree sufficient to support a</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Daubert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challenge; and</w:t>
      </w:r>
    </w:p>
    <w:p>
      <w:pPr>
        <w:numPr>
          <w:ilvl w:val="0"/>
          <w:numId w:val="1001"/>
        </w:numPr>
        <w:spacing w:line="480" w:lineRule="auto" w:before="0" w:after="0"/>
      </w:pPr>
      <w:r>
        <w:rPr>
          <w:rFonts w:ascii="Times New Roman" w:hAnsi="Times New Roman" w:eastAsia="Times New Roman" w:cs="Times New Roman"/>
          <w:color w:val="000000"/>
          <w:sz w:val="24"/>
        </w:rPr>
        <w:t xml:space="preserve">no disclosure of any examination-derived information to any person or agency without leave of court.</w:t>
      </w:r>
    </w:p>
    <w:p>
      <w:pPr>
        <w:pStyle w:val="FirstParagraph"/>
        <w:spacing w:line="480" w:lineRule="auto" w:before="0" w:after="0"/>
        <w:ind w:firstLine="720"/>
      </w:pPr>
      <w:r>
        <w:rPr>
          <w:rFonts w:ascii="Times New Roman" w:hAnsi="Times New Roman" w:eastAsia="Times New Roman" w:cs="Times New Roman"/>
          <w:color w:val="000000"/>
          <w:sz w:val="24"/>
        </w:rPr>
        <w:t xml:space="preserve">No federal court appears to have addressed a request of precisely this kind, and that should be said plainly rather than disguised as settled law. This request is best presented, and most likely to be granted, as a discretionary safeguard this Court has authority to craft under 18 U.S.C. § 3583(d) — not as a claim that the polygraph room is a custodial setting requiring Miranda-style protection. That framing is unnecessary and would invite an unfavorable comparison to authority rejecting a counsel-presence claim on custodial-interrogation grounds.</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See J.B. v. New Jersey State Parole Board</w:t>
      </w:r>
      <w:r>
        <w:rPr>
          <w:rFonts w:ascii="Times New Roman" w:hAnsi="Times New Roman" w:eastAsia="Times New Roman" w:cs="Times New Roman"/>
          <w:color w:val="000000"/>
          <w:sz w:val="24"/>
        </w:rPr>
        <w:t xml:space="preserve">, 229 N.J. 21 (2017). It is enough that determining whether a question is privileged is a legal judgment, and that the existing federal supervision policy framework already recognizes this determination is too delicate to leave to a probation officer alone, directing that uncertain invocations be referred to the court rather than resolved unilaterally. Guide to Judiciary Policy, Vol. 8E, § 190.45. If the Court is unwilling to order counsel’s presence throughout the full examination, Mr. Bernecky requests, in the alternative, consultation access at any point during the exam, modeled on the long-accepted grand jury practice of permitting a witness to step outside to consult counsel,</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see United States v. Mandujano</w:t>
      </w:r>
      <w:r>
        <w:rPr>
          <w:rFonts w:ascii="Times New Roman" w:hAnsi="Times New Roman" w:eastAsia="Times New Roman" w:cs="Times New Roman"/>
          <w:color w:val="000000"/>
          <w:sz w:val="24"/>
        </w:rPr>
        <w:t xml:space="preserve">, 425 U.S. 564 (1976); or, at minimum, advance written review of the full question list by counsel, with any newly arising or disputed question referred to the Court rather than resolved by the examiner.</w:t>
      </w:r>
    </w:p>
    <w:p>
      <w:pPr>
        <w:pStyle w:val="BodyText"/>
        <w:spacing w:line="480" w:lineRule="auto" w:before="0" w:after="0"/>
        <w:ind w:firstLine="720"/>
      </w:pPr>
      <w:r>
        <w:rPr>
          <w:rFonts w:ascii="Times New Roman" w:hAnsi="Times New Roman" w:eastAsia="Times New Roman" w:cs="Times New Roman"/>
          <w:color w:val="000000"/>
          <w:sz w:val="24"/>
        </w:rPr>
        <w:t xml:space="preserve">A separate and independent basis exists for appointing counsel for this motion specifically: 18 U.S.C. § 3006A(a)(1)(E) already lists a person who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faces modification . . . of a condition . . . of a term of supervised release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among the categories for which representation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shall be provided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 a financially eligible person. Mr. Bernecky requests that the Court appoint counsel under this provision for purposes of this motion, independent of how the polygraph-specific request above is resolved.</w:t>
      </w:r>
    </w:p>
    <w:p>
      <w:pPr>
        <w:pStyle w:val="BodyText"/>
        <w:spacing w:line="480" w:lineRule="auto" w:before="0" w:after="0"/>
        <w:ind w:firstLine="720"/>
      </w:pPr>
      <w:r>
        <w:rPr>
          <w:bCs/>
          <w:rFonts w:ascii="Times New Roman" w:hAnsi="Times New Roman" w:eastAsia="Times New Roman" w:cs="Times New Roman"/>
          <w:b/>
          <w:color w:val="000000"/>
          <w:sz w:val="24"/>
        </w:rPr>
        <w:t xml:space="preserve">3. There is, independently, no factual predicate for the polygraph condition as applied to Mr. Bernecky.</w:t>
      </w:r>
    </w:p>
    <w:p>
      <w:pPr>
        <w:pStyle w:val="BodyText"/>
        <w:spacing w:line="480" w:lineRule="auto" w:before="0" w:after="0"/>
        <w:ind w:firstLine="720"/>
      </w:pPr>
      <w:r>
        <w:rPr>
          <w:rFonts w:ascii="Times New Roman" w:hAnsi="Times New Roman" w:eastAsia="Times New Roman" w:cs="Times New Roman"/>
          <w:color w:val="000000"/>
          <w:sz w:val="24"/>
        </w:rPr>
        <w:t xml:space="preserve">Mr. Bernecky has never been found dishonest in treatment or supervision. A condition premised on presumed dishonesty, in the absence of any actual instance of it, lacks the nexus required under § 3583(d)’s reasonably-related standard, and the same is true of the computerized voice stress analyzer, whose reliability is independently subject to challenge under protection (iii) above.</w:t>
      </w:r>
    </w:p>
    <w:bookmarkEnd w:id="28"/>
    <w:bookmarkStart w:id="29" w:name="Xcdff6e4651eaffa17c96eb258cb76d893be49ad"/>
    <w:p>
      <w:pPr>
        <w:pStyle w:val="Heading3"/>
        <w:spacing w:line="480" w:lineRule="auto" w:before="0" w:after="0"/>
      </w:pPr>
      <w:r>
        <w:rPr>
          <w:rFonts w:ascii="Times New Roman" w:hAnsi="Times New Roman" w:eastAsia="Times New Roman" w:cs="Times New Roman"/>
          <w:b/>
          <w:color w:val="000000"/>
          <w:sz w:val="24"/>
        </w:rPr>
        <w:t xml:space="preserve">F. The Judgment’s Pre-Authorization of Presentence Report Disclosure Violates</w:t>
      </w:r>
      <w:r>
        <w:rPr>
          <w:rFonts w:ascii="Times New Roman" w:hAnsi="Times New Roman" w:eastAsia="Times New Roman" w:cs="Times New Roman"/>
          <w:b/>
          <w:color w:val="000000"/>
          <w:sz w:val="24"/>
        </w:rPr>
        <w:t xml:space="preserve"> </w:t>
      </w:r>
      <w:r>
        <w:rPr>
          <w:iCs/>
          <w:rFonts w:ascii="Times New Roman" w:hAnsi="Times New Roman" w:eastAsia="Times New Roman" w:cs="Times New Roman"/>
          <w:b/>
          <w:i/>
          <w:color w:val="000000"/>
          <w:sz w:val="24"/>
        </w:rPr>
        <w:t xml:space="preserve">Charmer Industries</w:t>
      </w:r>
      <w:r>
        <w:rPr>
          <w:rFonts w:ascii="Times New Roman" w:hAnsi="Times New Roman" w:eastAsia="Times New Roman" w:cs="Times New Roman"/>
          <w:b/>
          <w:color w:val="000000"/>
          <w:sz w:val="24"/>
        </w:rPr>
        <w:t xml:space="preserve"> </w:t>
      </w:r>
      <w:r>
        <w:rPr>
          <w:rFonts w:ascii="Times New Roman" w:hAnsi="Times New Roman" w:eastAsia="Times New Roman" w:cs="Times New Roman"/>
          <w:b/>
          <w:color w:val="000000"/>
          <w:sz w:val="24"/>
        </w:rPr>
        <w:t xml:space="preserve">and Should Be Vacated</w:t>
      </w:r>
    </w:p>
    <w:p>
      <w:pPr>
        <w:pStyle w:val="FirstParagraph"/>
        <w:spacing w:line="480" w:lineRule="auto" w:before="0" w:after="0"/>
        <w:ind w:firstLine="720"/>
      </w:pPr>
      <w:r>
        <w:rPr>
          <w:rFonts w:ascii="Times New Roman" w:hAnsi="Times New Roman" w:eastAsia="Times New Roman" w:cs="Times New Roman"/>
          <w:color w:val="000000"/>
          <w:sz w:val="24"/>
        </w:rPr>
        <w:t xml:space="preserve">Special Condition (e) authorizes release of Mr. Bernecky’s presentence report to the New York State Board of Examiners of Sex Offenders, and further disclosure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to the county court and to the parties involved in the determination of the defendant’s final classification level.</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This blanket, Judgment-level pre-authorization is inconsistent with the confidentiality and case-specific disclosure standard this Circuit has long applied to presentence reports.</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See United States v. Charmer Indus., Inc.</w:t>
      </w:r>
      <w:r>
        <w:rPr>
          <w:rFonts w:ascii="Times New Roman" w:hAnsi="Times New Roman" w:eastAsia="Times New Roman" w:cs="Times New Roman"/>
          <w:color w:val="000000"/>
          <w:sz w:val="24"/>
        </w:rPr>
        <w:t xml:space="preserve">, 711 F.2d 1164 (2d Cir. 1983). The remaining registration language in this same condition is, independently, surplusage: Mandatory Condition 6 already requires registration under the Sex Offender Registration and Notification Act, 34 U.S.C. § 20901</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et seq.</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Court should strike the blanket PSR pre-authorization and the duplicative registration language, without prejudice to any case-specific disclosure request properly made in the future.</w:t>
      </w:r>
    </w:p>
    <w:bookmarkEnd w:id="29"/>
    <w:bookmarkStart w:id="30" w:name="X0d6274140585552215e927fbb205f8dbb1a88c6"/>
    <w:p>
      <w:pPr>
        <w:pStyle w:val="Heading3"/>
        <w:spacing w:line="480" w:lineRule="auto" w:before="0" w:after="0"/>
      </w:pPr>
      <w:r>
        <w:rPr>
          <w:rFonts w:ascii="Times New Roman" w:hAnsi="Times New Roman" w:eastAsia="Times New Roman" w:cs="Times New Roman"/>
          <w:b/>
          <w:color w:val="000000"/>
          <w:sz w:val="24"/>
        </w:rPr>
        <w:t xml:space="preserve">G. The Fee-Bearing Conditions Lack Any Payment Methodology or Ability-to-Pay Mechanism</w:t>
      </w:r>
    </w:p>
    <w:p>
      <w:pPr>
        <w:pStyle w:val="FirstParagraph"/>
        <w:spacing w:line="480" w:lineRule="auto" w:before="0" w:after="0"/>
        <w:ind w:firstLine="720"/>
      </w:pPr>
      <w:r>
        <w:rPr>
          <w:rFonts w:ascii="Times New Roman" w:hAnsi="Times New Roman" w:eastAsia="Times New Roman" w:cs="Times New Roman"/>
          <w:color w:val="000000"/>
          <w:sz w:val="24"/>
        </w:rPr>
        <w:t xml:space="preserve">Four separate conditions — CIMP monitoring, sex-offense treatment, polygraph testing, and mental health treatment — require Mr. Bernecky to pay or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contribute to the cost of services rendered,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without stating a dollar figure, a rate-setting procedure, or any mechanism accounting for his ability to pay. The defect is structural, not a question of amount: nothing in the Judgment tells Mr. Bernecky, or Probation, how much is expected, whether any sliding scale applies, or what happens if he genuinely cannot pay.</w:t>
      </w:r>
    </w:p>
    <w:p>
      <w:pPr>
        <w:pStyle w:val="BodyText"/>
        <w:spacing w:line="480" w:lineRule="auto" w:before="0" w:after="0"/>
        <w:ind w:firstLine="720"/>
      </w:pPr>
      <w:r>
        <w:rPr>
          <w:iCs/>
          <w:rFonts w:ascii="Times New Roman" w:hAnsi="Times New Roman" w:eastAsia="Times New Roman" w:cs="Times New Roman"/>
          <w:i/>
          <w:color w:val="000000"/>
          <w:sz w:val="24"/>
        </w:rPr>
        <w:t xml:space="preserve">Bearden v. Georgia</w:t>
      </w:r>
      <w:r>
        <w:rPr>
          <w:rFonts w:ascii="Times New Roman" w:hAnsi="Times New Roman" w:eastAsia="Times New Roman" w:cs="Times New Roman"/>
          <w:color w:val="000000"/>
          <w:sz w:val="24"/>
        </w:rPr>
        <w:t xml:space="preserve">, 461 U.S. 660 (1983), requires a willfulness and bona-fide-efforts inquiry before nonpayment of a financial obligation may be treated as a basis for revocation; nothing in the record suggests that principle has been extended, in this Judgment, to these four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contribute to the cost</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conditions. The Court should modify each of the four conditions to state expressly that (i) any fee obligation is subject to Mr. Bernecky’s demonstrated ability to pay, (ii) insurance or Medicaid coverage, where applicable, applies before any personal contribution is assessed, and (iii) inability to pay, standing alone, is not a basis for a violation finding absent the willfulness inquiry</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Bearden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requires.</w:t>
      </w:r>
    </w:p>
    <w:bookmarkEnd w:id="30"/>
    <w:bookmarkStart w:id="31" w:name="X829649f6e32c084252b6eee2b8c7a3ad568de0a"/>
    <w:p>
      <w:pPr>
        <w:pStyle w:val="Heading3"/>
        <w:spacing w:line="480" w:lineRule="auto" w:before="0" w:after="0"/>
      </w:pPr>
      <w:r>
        <w:rPr>
          <w:rFonts w:ascii="Times New Roman" w:hAnsi="Times New Roman" w:eastAsia="Times New Roman" w:cs="Times New Roman"/>
          <w:b/>
          <w:color w:val="000000"/>
          <w:sz w:val="24"/>
        </w:rPr>
        <w:t xml:space="preserve">H. Two Financial-Disclosure Conditions Should Be Narrowed or Vacated as No Longer Necessary</w:t>
      </w:r>
    </w:p>
    <w:p>
      <w:pPr>
        <w:pStyle w:val="FirstParagraph"/>
        <w:spacing w:line="480" w:lineRule="auto" w:before="0" w:after="0"/>
        <w:ind w:firstLine="720"/>
      </w:pPr>
      <w:r>
        <w:rPr>
          <w:rFonts w:ascii="Times New Roman" w:hAnsi="Times New Roman" w:eastAsia="Times New Roman" w:cs="Times New Roman"/>
          <w:color w:val="000000"/>
          <w:sz w:val="24"/>
        </w:rPr>
        <w:t xml:space="preserve">Special Condition (d) grants Probation blanket access to Mr. Bernecky’s personal and business financial information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to monitor . . . compliance with not buying or subscribing to online services that provide child pornography.</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Mr. Bernecky has never been alleged to have purchased child pornography; his offense of conviction is possession. The condition should be modified to require a reasonable-suspicion predicate before financial information is accessed, consistent with the suspicion-gated structure the Judgment already applies elsewhere, in Special Condition (a) itself.</w:t>
      </w:r>
    </w:p>
    <w:p>
      <w:pPr>
        <w:pStyle w:val="BodyText"/>
        <w:spacing w:line="480" w:lineRule="auto" w:before="0" w:after="0"/>
        <w:ind w:firstLine="720"/>
      </w:pPr>
      <w:r>
        <w:rPr>
          <w:rFonts w:ascii="Times New Roman" w:hAnsi="Times New Roman" w:eastAsia="Times New Roman" w:cs="Times New Roman"/>
          <w:color w:val="000000"/>
          <w:sz w:val="24"/>
        </w:rPr>
        <w:t xml:space="preserve">Special Condition (i) grants similarly broad financial-disclosure and asset-restraint authority, expressly tied to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the collection of any unpaid fine or restitution.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Mr. Bernecky believes the $500 restitution obligation has been paid in full. If the record confirms this, the condition’s predicate no longer exists, and</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Lussier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confirms no separate showing of changed circumstances is required to vacate a condition whose stated purpose has been satisfied. 104 F.3d at 36.</w:t>
      </w:r>
    </w:p>
    <w:bookmarkEnd w:id="31"/>
    <w:bookmarkStart w:id="32" w:name="X317e416bc20a95f7fa7d4b36e168bc7e441f044"/>
    <w:p>
      <w:pPr>
        <w:pStyle w:val="Heading3"/>
        <w:spacing w:line="480" w:lineRule="auto" w:before="0" w:after="0"/>
      </w:pPr>
      <w:r>
        <w:rPr>
          <w:rFonts w:ascii="Times New Roman" w:hAnsi="Times New Roman" w:eastAsia="Times New Roman" w:cs="Times New Roman"/>
          <w:b/>
          <w:color w:val="000000"/>
          <w:sz w:val="24"/>
        </w:rPr>
        <w:t xml:space="preserve">I. The No-Communication-With-Felons Condition Should Be Narrowed to Avoid Sweeping in Ordinary, Protected Conduct</w:t>
      </w:r>
    </w:p>
    <w:p>
      <w:pPr>
        <w:pStyle w:val="FirstParagraph"/>
        <w:spacing w:line="480" w:lineRule="auto" w:before="0" w:after="0"/>
        <w:ind w:firstLine="720"/>
      </w:pPr>
      <w:r>
        <w:rPr>
          <w:rFonts w:ascii="Times New Roman" w:hAnsi="Times New Roman" w:eastAsia="Times New Roman" w:cs="Times New Roman"/>
          <w:color w:val="000000"/>
          <w:sz w:val="24"/>
        </w:rPr>
        <w:t xml:space="preserve">Standard Condition 8 bars Mr. Bernecky from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communicat[ing] or interact[ing]</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with anyone known to have a felony conviction, absent advance permission. As written, this is a communication ban, not merely an association restriction, and it reaches core protected conduct with no incidental-contact or knowledge-timing exception: requesting an autograph from a public figure with a felony conviction, attending a rally advocating for felon voting rights, or exchanging ordinary pleasantries with a coworker or neighbor whose record becomes known only after the fact. It also places Mr. Bernecky in direct conflict with Special Condition (b)’s own requirement that he participate in group treatment alongside other convicted individuals, and with the practical reality that housing available to registered sex offenders routinely places them in proximity to other felons.</w:t>
      </w:r>
    </w:p>
    <w:p>
      <w:pPr>
        <w:pStyle w:val="BodyText"/>
        <w:spacing w:line="480" w:lineRule="auto" w:before="0" w:after="0"/>
        <w:ind w:firstLine="720"/>
      </w:pPr>
      <w:r>
        <w:rPr>
          <w:iCs/>
          <w:rFonts w:ascii="Times New Roman" w:hAnsi="Times New Roman" w:eastAsia="Times New Roman" w:cs="Times New Roman"/>
          <w:i/>
          <w:color w:val="000000"/>
          <w:sz w:val="24"/>
        </w:rPr>
        <w:t xml:space="preserve">United States v. Reeves</w:t>
      </w:r>
      <w:r>
        <w:rPr>
          <w:rFonts w:ascii="Times New Roman" w:hAnsi="Times New Roman" w:eastAsia="Times New Roman" w:cs="Times New Roman"/>
          <w:color w:val="000000"/>
          <w:sz w:val="24"/>
        </w:rPr>
        <w:t xml:space="preserve">, 591 F.3d 77, 80-81 (2d Cir. 2010), confirms the general principle applicable here: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[a] condition is too vague if it requires a reasonable person to speculate as to its meaning.</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Court should narrow this condition to a restriction on cohabitation with, or harboring of, a known felon, or, at minimum, add an incidental-contact and knowledge-timing exception consistent with ordinary civic and workplace life.</w:t>
      </w:r>
    </w:p>
    <w:bookmarkEnd w:id="32"/>
    <w:bookmarkStart w:id="34" w:name="Xbe85e3905bc071de83c0dbe97b47d6aeace11dc"/>
    <w:p>
      <w:pPr>
        <w:pStyle w:val="Heading3"/>
        <w:spacing w:line="480" w:lineRule="auto" w:before="0" w:after="0"/>
      </w:pPr>
      <w:r>
        <w:rPr>
          <w:rFonts w:ascii="Times New Roman" w:hAnsi="Times New Roman" w:eastAsia="Times New Roman" w:cs="Times New Roman"/>
          <w:b/>
          <w:color w:val="000000"/>
          <w:sz w:val="24"/>
        </w:rPr>
        <w:t xml:space="preserve">J. Standard Condition 12 (Risk Notification)</w:t>
      </w:r>
    </w:p>
    <w:p>
      <w:pPr>
        <w:pStyle w:val="FirstParagraph"/>
        <w:spacing w:line="480" w:lineRule="auto" w:before="0" w:after="0"/>
        <w:ind w:firstLine="720"/>
      </w:pPr>
      <w:r>
        <w:rPr>
          <w:rFonts w:ascii="Times New Roman" w:hAnsi="Times New Roman" w:eastAsia="Times New Roman" w:cs="Times New Roman"/>
          <w:color w:val="000000"/>
          <w:sz w:val="24"/>
        </w:rPr>
        <w:t xml:space="preserve">Probation’s own pre-release materials describe this condition in its pre-</w:t>
      </w:r>
      <w:r>
        <w:rPr>
          <w:iCs/>
          <w:rFonts w:ascii="Times New Roman" w:hAnsi="Times New Roman" w:eastAsia="Times New Roman" w:cs="Times New Roman"/>
          <w:i/>
          <w:color w:val="000000"/>
          <w:sz w:val="24"/>
        </w:rPr>
        <w:t xml:space="preserve">Boles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form, unmodified to reflect the district’s own corrective standing order.</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See United States v. Boles</w:t>
      </w:r>
      <w:r>
        <w:rPr>
          <w:rFonts w:ascii="Times New Roman" w:hAnsi="Times New Roman" w:eastAsia="Times New Roman" w:cs="Times New Roman"/>
          <w:color w:val="000000"/>
          <w:sz w:val="24"/>
        </w:rPr>
        <w:t xml:space="preserve">, 914 F.3d 95 (2d Cir. 2019). Mr. Bernecky respectfully requests that the Court direct that the existing WDNY standing order be applied to him, as it already applies district-wide. No facial challenge to the standing order’s mechanism is made here.</w:t>
      </w:r>
      <w:r>
        <w:rPr>
          <w:rStyle w:val="FootnoteReference"/>
          <w:rFonts w:ascii="Times New Roman" w:hAnsi="Times New Roman" w:eastAsia="Times New Roman" w:cs="Times New Roman"/>
          <w:color w:val="000000"/>
          <w:sz w:val="24"/>
        </w:rPr>
        <w:footnoteReference w:id="33"/>
      </w:r>
    </w:p>
    <w:bookmarkEnd w:id="34"/>
    <w:bookmarkEnd w:id="35"/>
    <w:bookmarkStart w:id="36" w:name="conclusion-and-requested-relief"/>
    <w:p>
      <w:pPr>
        <w:pStyle w:val="Heading2"/>
        <w:spacing w:line="480" w:lineRule="auto" w:before="0" w:after="0"/>
      </w:pPr>
      <w:r>
        <w:rPr>
          <w:rFonts w:ascii="Times New Roman" w:hAnsi="Times New Roman" w:eastAsia="Times New Roman" w:cs="Times New Roman"/>
          <w:b/>
          <w:color w:val="000000"/>
          <w:sz w:val="24"/>
        </w:rPr>
        <w:t xml:space="preserve">CONCLUSION AND REQUESTED RELIEF</w:t>
      </w:r>
    </w:p>
    <w:p>
      <w:pPr>
        <w:pStyle w:val="FirstParagraph"/>
        <w:spacing w:line="480" w:lineRule="auto" w:before="0" w:after="0"/>
      </w:pPr>
      <w:r>
        <w:rPr>
          <w:rFonts w:ascii="Times New Roman" w:hAnsi="Times New Roman" w:eastAsia="Times New Roman" w:cs="Times New Roman"/>
          <w:color w:val="000000"/>
          <w:sz w:val="24"/>
        </w:rPr>
        <w:t xml:space="preserve">For the foregoing reasons, Mr. Bernecky respectfully requests that the Court:</w:t>
      </w:r>
    </w:p>
    <w:p>
      <w:pPr>
        <w:numPr>
          <w:ilvl w:val="0"/>
          <w:numId w:val="1002"/>
        </w:numPr>
        <w:pStyle w:val="Compact"/>
        <w:spacing w:line="480" w:lineRule="auto" w:before="0" w:after="0"/>
        <w:ind w:firstLine="720"/>
      </w:pPr>
      <w:r>
        <w:rPr>
          <w:rFonts w:ascii="Times New Roman" w:hAnsi="Times New Roman" w:eastAsia="Times New Roman" w:cs="Times New Roman"/>
          <w:color w:val="000000"/>
          <w:sz w:val="24"/>
        </w:rPr>
        <w:t xml:space="preserve">Clarify and modify Special Condition (a) as set out in Part A.5, including limiting monitored devices to those Mr. Bernecky owns that are capable of accessing image content, and prohibiting rather than authorizing monitoring of third-party devices;</w:t>
      </w:r>
    </w:p>
    <w:p>
      <w:pPr>
        <w:numPr>
          <w:ilvl w:val="0"/>
          <w:numId w:val="1002"/>
        </w:numPr>
        <w:pStyle w:val="Compact"/>
        <w:spacing w:line="480" w:lineRule="auto" w:before="0" w:after="0"/>
        <w:ind w:firstLine="720"/>
      </w:pPr>
      <w:r>
        <w:rPr>
          <w:rFonts w:ascii="Times New Roman" w:hAnsi="Times New Roman" w:eastAsia="Times New Roman" w:cs="Times New Roman"/>
          <w:color w:val="000000"/>
          <w:sz w:val="24"/>
        </w:rPr>
        <w:t xml:space="preserve">Modify Special Condition (a) to exclude indiscriminate keystroke-level logging, as set out in Part B;</w:t>
      </w:r>
    </w:p>
    <w:p>
      <w:pPr>
        <w:numPr>
          <w:ilvl w:val="0"/>
          <w:numId w:val="1002"/>
        </w:numPr>
        <w:pStyle w:val="Compact"/>
        <w:spacing w:line="480" w:lineRule="auto" w:before="0" w:after="0"/>
        <w:ind w:firstLine="720"/>
      </w:pPr>
      <w:r>
        <w:rPr>
          <w:rFonts w:ascii="Times New Roman" w:hAnsi="Times New Roman" w:eastAsia="Times New Roman" w:cs="Times New Roman"/>
          <w:color w:val="000000"/>
          <w:sz w:val="24"/>
        </w:rPr>
        <w:t xml:space="preserve">Clarify Special Condition (b) to establish that a treatment provider’s rules exceeding this Court’s own conditions cannot support a violation finding, as set out in Part C;</w:t>
      </w:r>
    </w:p>
    <w:p>
      <w:pPr>
        <w:numPr>
          <w:ilvl w:val="0"/>
          <w:numId w:val="1002"/>
        </w:numPr>
        <w:pStyle w:val="Compact"/>
        <w:spacing w:line="480" w:lineRule="auto" w:before="0" w:after="0"/>
        <w:ind w:firstLine="720"/>
      </w:pPr>
      <w:r>
        <w:rPr>
          <w:rFonts w:ascii="Times New Roman" w:hAnsi="Times New Roman" w:eastAsia="Times New Roman" w:cs="Times New Roman"/>
          <w:color w:val="000000"/>
          <w:sz w:val="24"/>
        </w:rPr>
        <w:t xml:space="preserve">Modify Special Condition (c) to adopt a knowledgeable-adult family-contact structure and clarify that it imposes no occupational restriction, as set out in Part D;</w:t>
      </w:r>
    </w:p>
    <w:p>
      <w:pPr>
        <w:numPr>
          <w:ilvl w:val="0"/>
          <w:numId w:val="1002"/>
        </w:numPr>
        <w:pStyle w:val="Compact"/>
        <w:spacing w:line="480" w:lineRule="auto" w:before="0" w:after="0"/>
        <w:ind w:firstLine="720"/>
      </w:pPr>
      <w:r>
        <w:rPr>
          <w:rFonts w:ascii="Times New Roman" w:hAnsi="Times New Roman" w:eastAsia="Times New Roman" w:cs="Times New Roman"/>
          <w:color w:val="000000"/>
          <w:sz w:val="24"/>
        </w:rPr>
        <w:t xml:space="preserve">Grant the procedural protections requested for Special Condition (g), or in the alternative the narrower relief described, and appoint counsel under 18 U.S.C. § 3006A(a)(1)(E) for purposes of this motion, as set out in Part E;</w:t>
      </w:r>
    </w:p>
    <w:p>
      <w:pPr>
        <w:numPr>
          <w:ilvl w:val="0"/>
          <w:numId w:val="1002"/>
        </w:numPr>
        <w:pStyle w:val="Compact"/>
        <w:spacing w:line="480" w:lineRule="auto" w:before="0" w:after="0"/>
        <w:ind w:firstLine="720"/>
      </w:pPr>
      <w:r>
        <w:rPr>
          <w:rFonts w:ascii="Times New Roman" w:hAnsi="Times New Roman" w:eastAsia="Times New Roman" w:cs="Times New Roman"/>
          <w:color w:val="000000"/>
          <w:sz w:val="24"/>
        </w:rPr>
        <w:t xml:space="preserve">Vacate the blanket presentence-report disclosure authorization in Special Condition (e) and strike its duplicative registration language, as set out in Part F;</w:t>
      </w:r>
    </w:p>
    <w:p>
      <w:pPr>
        <w:numPr>
          <w:ilvl w:val="0"/>
          <w:numId w:val="1002"/>
        </w:numPr>
        <w:pStyle w:val="Compact"/>
        <w:spacing w:line="480" w:lineRule="auto" w:before="0" w:after="0"/>
        <w:ind w:firstLine="720"/>
      </w:pPr>
      <w:r>
        <w:rPr>
          <w:rFonts w:ascii="Times New Roman" w:hAnsi="Times New Roman" w:eastAsia="Times New Roman" w:cs="Times New Roman"/>
          <w:color w:val="000000"/>
          <w:sz w:val="24"/>
        </w:rPr>
        <w:t xml:space="preserve">Modify Special Conditions (a), (b), (g), and (h) to include an ability-to-pay mechanism, as set out in Part G;</w:t>
      </w:r>
    </w:p>
    <w:p>
      <w:pPr>
        <w:numPr>
          <w:ilvl w:val="0"/>
          <w:numId w:val="1002"/>
        </w:numPr>
        <w:pStyle w:val="Compact"/>
        <w:spacing w:line="480" w:lineRule="auto" w:before="0" w:after="0"/>
        <w:ind w:firstLine="720"/>
      </w:pPr>
      <w:r>
        <w:rPr>
          <w:rFonts w:ascii="Times New Roman" w:hAnsi="Times New Roman" w:eastAsia="Times New Roman" w:cs="Times New Roman"/>
          <w:color w:val="000000"/>
          <w:sz w:val="24"/>
        </w:rPr>
        <w:t xml:space="preserve">Modify Special Condition (d) to require a reasonable-suspicion predicate, and vacate Special Condition (i) upon confirmation that restitution has been paid in full, as set out in Part H;</w:t>
      </w:r>
    </w:p>
    <w:p>
      <w:pPr>
        <w:numPr>
          <w:ilvl w:val="0"/>
          <w:numId w:val="1002"/>
        </w:numPr>
        <w:pStyle w:val="Compact"/>
        <w:spacing w:line="480" w:lineRule="auto" w:before="0" w:after="0"/>
      </w:pPr>
      <w:r>
        <w:rPr>
          <w:rFonts w:ascii="Times New Roman" w:hAnsi="Times New Roman" w:eastAsia="Times New Roman" w:cs="Times New Roman"/>
          <w:color w:val="000000"/>
          <w:sz w:val="24"/>
        </w:rPr>
        <w:t xml:space="preserve">Narrow Standard Condition 8 as set out in Part I; and</w:t>
      </w:r>
    </w:p>
    <w:p>
      <w:pPr>
        <w:numPr>
          <w:ilvl w:val="0"/>
          <w:numId w:val="1002"/>
        </w:numPr>
        <w:pStyle w:val="Compact"/>
        <w:spacing w:line="480" w:lineRule="auto" w:before="0" w:after="0"/>
        <w:ind w:firstLine="720"/>
      </w:pPr>
      <w:r>
        <w:rPr>
          <w:rFonts w:ascii="Times New Roman" w:hAnsi="Times New Roman" w:eastAsia="Times New Roman" w:cs="Times New Roman"/>
          <w:color w:val="000000"/>
          <w:sz w:val="24"/>
        </w:rPr>
        <w:t xml:space="preserve">Direct that the district’s existing risk-notification standing order be applied to Mr. Bernecky, as set out in Part J.</w:t>
      </w:r>
    </w:p>
    <w:p>
      <w:pPr>
        <w:pStyle w:val="FirstParagraph"/>
        <w:spacing w:line="480" w:lineRule="auto" w:before="0" w:after="0"/>
      </w:pPr>
      <w:r>
        <w:rPr>
          <w:rFonts w:ascii="Times New Roman" w:hAnsi="Times New Roman" w:eastAsia="Times New Roman" w:cs="Times New Roman"/>
          <w:color w:val="000000"/>
          <w:sz w:val="24"/>
        </w:rPr>
        <w:t xml:space="preserve">Respectfully submitted,</w:t>
      </w:r>
    </w:p>
    <w:p>
      <w:pPr>
        <w:spacing w:line="480" w:lineRule="auto" w:before="0" w:after="0"/>
      </w:pPr>
      <w:r>
        <w:rPr>
          <w:rFonts w:ascii="Times New Roman" w:hAnsi="Times New Roman" w:eastAsia="Times New Roman" w:cs="Times New Roman"/>
          <w:color w:val="000000"/>
          <w:sz w:val="24"/>
        </w:rPr>
        <w:pict>
          <v:rect style="width:0;height:1.5pt" o:hralign="center" o:hrstd="t" o:hr="t"/>
        </w:pict>
      </w:r>
    </w:p>
    <w:p>
      <w:pPr>
        <w:pStyle w:val="FirstParagraph"/>
        <w:spacing w:line="480" w:lineRule="auto" w:before="0" w:after="0"/>
      </w:pPr>
      <w:r>
        <w:rPr>
          <w:rFonts w:ascii="Times New Roman" w:hAnsi="Times New Roman" w:eastAsia="Times New Roman" w:cs="Times New Roman"/>
          <w:color w:val="000000"/>
          <w:sz w:val="24"/>
        </w:rPr>
        <w:t xml:space="preserve">Jeffrey Bernecky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Defendant,</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Pro Se</w:t>
      </w:r>
    </w:p>
    <w:bookmarkEnd w:id="36"/>
    <w:bookmarkStart w:id="37" w:name="certificate-of-service"/>
    <w:p>
      <w:pPr>
        <w:pStyle w:val="Heading2"/>
        <w:spacing w:line="480" w:lineRule="auto" w:before="0" w:after="0"/>
      </w:pPr>
      <w:r>
        <w:rPr>
          <w:rFonts w:ascii="Times New Roman" w:hAnsi="Times New Roman" w:eastAsia="Times New Roman" w:cs="Times New Roman"/>
          <w:b/>
          <w:color w:val="000000"/>
          <w:sz w:val="24"/>
        </w:rPr>
        <w:t xml:space="preserve">CERTIFICATE OF SERVICE</w:t>
      </w:r>
    </w:p>
    <w:p>
      <w:pPr>
        <w:pStyle w:val="FirstParagraph"/>
        <w:spacing w:line="480" w:lineRule="auto" w:before="0" w:after="0"/>
        <w:ind w:firstLine="720"/>
      </w:pPr>
      <w:r>
        <w:rPr>
          <w:rFonts w:ascii="Times New Roman" w:hAnsi="Times New Roman" w:eastAsia="Times New Roman" w:cs="Times New Roman"/>
          <w:color w:val="000000"/>
          <w:sz w:val="24"/>
        </w:rPr>
        <w:t xml:space="preserve">I hereby certify that on this ____ day of ____________, 2026, a true and correct copy of the foregoing motion was served upon the United States Attorney’s Office for the Western District of New York by the method directed by the Court’s applicable rules for filings by self-represented litigants.</w:t>
      </w:r>
    </w:p>
    <w:p>
      <w:pPr>
        <w:spacing w:line="480" w:lineRule="auto" w:before="0" w:after="0"/>
      </w:pPr>
      <w:r>
        <w:rPr>
          <w:rFonts w:ascii="Times New Roman" w:hAnsi="Times New Roman" w:eastAsia="Times New Roman" w:cs="Times New Roman"/>
          <w:color w:val="000000"/>
          <w:sz w:val="24"/>
        </w:rPr>
        <w:pict>
          <v:rect style="width:0;height:1.5pt" o:hralign="center" o:hrstd="t" o:hr="t"/>
        </w:pict>
      </w:r>
    </w:p>
    <w:p>
      <w:pPr>
        <w:pStyle w:val="FirstParagraph"/>
        <w:spacing w:line="480" w:lineRule="auto" w:before="0" w:after="0"/>
      </w:pPr>
      <w:r>
        <w:rPr>
          <w:rFonts w:ascii="Times New Roman" w:hAnsi="Times New Roman" w:eastAsia="Times New Roman" w:cs="Times New Roman"/>
          <w:color w:val="000000"/>
          <w:sz w:val="24"/>
        </w:rPr>
        <w:t xml:space="preserve">Jeffrey Bernecky</w:t>
      </w:r>
    </w:p>
    <w:bookmarkEnd w:id="37"/>
    <w:bookmarkEnd w:id="38"/>
    <w:sect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w:r>
        <w:t xml:space="preserve">Mr. Bernecky preemptively objects to any determination of risk made through a closed-door process between the probation officer and the Court, without notice to him or an opportunity to be heard, and reserves the right to seek proper process — including notice, disclosure of the basis for any risk determination, and an opportunity to respond — should any such determination ever be made as to him.</w:t>
      </w:r>
      <w:r>
        <w:t xml:space="preserve"> </w:t>
      </w:r>
      <w:r>
        <w:rPr>
          <w:iCs/>
          <w:i/>
        </w:rPr>
        <w:t xml:space="preserve">See United States v. Traficante</w:t>
      </w:r>
      <w:r>
        <w:t xml:space="preserve">, 966 F.3d 99 (2d Cir. 2020) (facial challenge to this mechanism not ripe absent an actual risk determination).</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2026-07-07T19:36:24Z</dcterms:created>
  <dcterms:modified xsi:type="dcterms:W3CDTF">2026-07-07T19:36:24Z</dcterms:modified>
</cp:coreProperties>
</file>

<file path=docProps/custom.xml><?xml version="1.0" encoding="utf-8"?>
<Properties xmlns="http://schemas.openxmlformats.org/officeDocument/2006/custom-properties" xmlns:vt="http://schemas.openxmlformats.org/officeDocument/2006/docPropsVTypes"/>
</file>