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ind w:firstLine="0"/>
        <w:jc w:val="center"/>
      </w:pPr>
      <w:r>
        <w:rPr>
          <w:rFonts w:ascii="Times New Roman" w:cs="Times New Roman" w:eastAsia="Times New Roman" w:hAnsi="Times New Roman"/>
          <w:b/>
          <w:bCs/>
          <w:sz w:val="24"/>
          <w:szCs w:val="24"/>
        </w:rPr>
        <w:t xml:space="preserve">COUNTY COURT OF THE STATE OF NEW YORK</w:t>
      </w:r>
    </w:p>
    <w:p>
      <w:pPr>
        <w:spacing w:line="240" w:lineRule="auto"/>
        <w:ind w:firstLine="0"/>
        <w:jc w:val="center"/>
      </w:pPr>
      <w:r>
        <w:rPr>
          <w:rFonts w:ascii="Times New Roman" w:cs="Times New Roman" w:eastAsia="Times New Roman" w:hAnsi="Times New Roman"/>
          <w:b/>
          <w:bCs/>
          <w:sz w:val="24"/>
          <w:szCs w:val="24"/>
        </w:rPr>
        <w:t xml:space="preserve">COUNTY OF MONROE</w:t>
      </w:r>
    </w:p>
    <w:p>
      <w:pPr>
        <w:spacing w:line="240" w:lineRule="auto"/>
        <w:ind w:firstLine="0"/>
        <w:jc w:val="left"/>
      </w:pPr>
      <w:r>
        <w:rPr>
          <w:rFonts w:ascii="Times New Roman" w:cs="Times New Roman" w:eastAsia="Times New Roman" w:hAnsi="Times New Roman"/>
          <w:sz w:val="24"/>
          <w:szCs w:val="24"/>
        </w:rPr>
        <w:t xml:space="preserve">-----------------------------------------------------------X</w:t>
      </w:r>
    </w:p>
    <w:p>
      <w:pPr>
        <w:spacing w:line="240" w:lineRule="auto"/>
      </w:pPr>
      <w:r>
        <w:rPr>
          <w:rFonts w:ascii="Times New Roman" w:cs="Times New Roman" w:eastAsia="Times New Roman" w:hAnsi="Times New Roman"/>
          <w:sz w:val="24"/>
          <w:szCs w:val="24"/>
        </w:rPr>
        <w:t xml:space="preserve"/>
      </w:r>
    </w:p>
    <w:p>
      <w:pPr>
        <w:spacing w:line="240" w:lineRule="auto"/>
        <w:ind w:firstLine="0"/>
        <w:jc w:val="left"/>
      </w:pPr>
      <w:r>
        <w:rPr>
          <w:rFonts w:ascii="Times New Roman" w:cs="Times New Roman" w:eastAsia="Times New Roman" w:hAnsi="Times New Roman"/>
          <w:sz w:val="24"/>
          <w:szCs w:val="24"/>
        </w:rPr>
        <w:t xml:space="preserve">PEOPLE OF THE STATE OF NEW YORK,</w:t>
      </w:r>
    </w:p>
    <w:p>
      <w:pPr>
        <w:spacing w:line="240" w:lineRule="auto"/>
      </w:pPr>
      <w:r>
        <w:rPr>
          <w:rFonts w:ascii="Times New Roman" w:cs="Times New Roman" w:eastAsia="Times New Roman" w:hAnsi="Times New Roman"/>
          <w:sz w:val="24"/>
          <w:szCs w:val="24"/>
        </w:rPr>
        <w:t xml:space="preserve"/>
      </w:r>
    </w:p>
    <w:p>
      <w:pPr>
        <w:tabs>
          <w:tab w:val="left" w:pos="5400"/>
        </w:tabs>
        <w:spacing w:line="240" w:lineRule="auto"/>
        <w:ind w:firstLin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Index No. [_______]</w:t>
      </w:r>
    </w:p>
    <w:p>
      <w:pPr>
        <w:spacing w:line="240" w:lineRule="auto"/>
      </w:pPr>
      <w:r>
        <w:rPr>
          <w:rFonts w:ascii="Times New Roman" w:cs="Times New Roman" w:eastAsia="Times New Roman" w:hAnsi="Times New Roman"/>
          <w:sz w:val="24"/>
          <w:szCs w:val="24"/>
        </w:rPr>
        <w:t xml:space="preserve"/>
      </w:r>
    </w:p>
    <w:p>
      <w:pPr>
        <w:tabs>
          <w:tab w:val="left" w:pos="5400"/>
        </w:tabs>
        <w:spacing w:line="240" w:lineRule="auto"/>
        <w:ind w:firstLine="0"/>
        <w:jc w:val="left"/>
      </w:pPr>
      <w:r>
        <w:rPr>
          <w:rFonts w:ascii="Times New Roman" w:cs="Times New Roman" w:eastAsia="Times New Roman" w:hAnsi="Times New Roman"/>
          <w:sz w:val="24"/>
          <w:szCs w:val="24"/>
        </w:rPr>
        <w:t xml:space="preserve">        -against-</w:t>
      </w:r>
      <w:r>
        <w:rPr>
          <w:rFonts w:ascii="Times New Roman" w:cs="Times New Roman" w:eastAsia="Times New Roman" w:hAnsi="Times New Roman"/>
          <w:sz w:val="24"/>
          <w:szCs w:val="24"/>
        </w:rPr>
        <w:t xml:space="preserve">	MEMORANDUM OF LAW</w:t>
      </w:r>
    </w:p>
    <w:p>
      <w:pPr>
        <w:tabs>
          <w:tab w:val="left" w:pos="5400"/>
        </w:tabs>
        <w:spacing w:line="240" w:lineRule="auto"/>
        <w:ind w:firstLine="0"/>
        <w:jc w:val="left"/>
      </w:pPr>
      <w:r>
        <w:rPr>
          <w:rFonts w:ascii="Times New Roman" w:cs="Times New Roman" w:eastAsia="Times New Roman" w:hAnsi="Times New Roman"/>
          <w:sz w:val="24"/>
          <w:szCs w:val="24"/>
        </w:rPr>
        <w:t xml:space="preserve">	IN SUPPORT OF</w:t>
      </w:r>
    </w:p>
    <w:p>
      <w:pPr>
        <w:tabs>
          <w:tab w:val="left" w:pos="5400"/>
        </w:tabs>
        <w:spacing w:line="240" w:lineRule="auto"/>
        <w:ind w:firstLine="0"/>
        <w:jc w:val="left"/>
      </w:pPr>
      <w:r>
        <w:rPr>
          <w:rFonts w:ascii="Times New Roman" w:cs="Times New Roman" w:eastAsia="Times New Roman" w:hAnsi="Times New Roman"/>
          <w:sz w:val="24"/>
          <w:szCs w:val="24"/>
        </w:rPr>
        <w:t xml:space="preserve">JEFFREY BERNECKY,</w:t>
      </w:r>
      <w:r>
        <w:rPr>
          <w:rFonts w:ascii="Times New Roman" w:cs="Times New Roman" w:eastAsia="Times New Roman" w:hAnsi="Times New Roman"/>
          <w:sz w:val="24"/>
          <w:szCs w:val="24"/>
        </w:rPr>
        <w:t xml:space="preserve">	RESPONDENT'S</w:t>
      </w:r>
    </w:p>
    <w:p>
      <w:pPr>
        <w:tabs>
          <w:tab w:val="left" w:pos="5400"/>
        </w:tabs>
        <w:spacing w:line="240" w:lineRule="auto"/>
        <w:ind w:firstLine="0"/>
        <w:jc w:val="left"/>
      </w:pPr>
      <w:r>
        <w:rPr>
          <w:rFonts w:ascii="Times New Roman" w:cs="Times New Roman" w:eastAsia="Times New Roman" w:hAnsi="Times New Roman"/>
          <w:sz w:val="24"/>
          <w:szCs w:val="24"/>
        </w:rPr>
        <w:t xml:space="preserve">	APPLICATION FOR A</w:t>
      </w:r>
    </w:p>
    <w:p>
      <w:pPr>
        <w:tabs>
          <w:tab w:val="left" w:pos="5400"/>
        </w:tabs>
        <w:spacing w:line="240" w:lineRule="auto"/>
        <w:ind w:firstLine="0"/>
        <w:jc w:val="left"/>
      </w:pPr>
      <w:r>
        <w:rPr>
          <w:rFonts w:ascii="Times New Roman" w:cs="Times New Roman" w:eastAsia="Times New Roman" w:hAnsi="Times New Roman"/>
          <w:sz w:val="24"/>
          <w:szCs w:val="24"/>
        </w:rPr>
        <w:t xml:space="preserve">                                        Respondent.</w:t>
      </w:r>
      <w:r>
        <w:rPr>
          <w:rFonts w:ascii="Times New Roman" w:cs="Times New Roman" w:eastAsia="Times New Roman" w:hAnsi="Times New Roman"/>
          <w:sz w:val="24"/>
          <w:szCs w:val="24"/>
        </w:rPr>
        <w:t xml:space="preserve">	DOWNWARD DEPARTURE</w:t>
      </w:r>
    </w:p>
    <w:p>
      <w:pPr>
        <w:spacing w:line="240" w:lineRule="auto"/>
      </w:pPr>
      <w:r>
        <w:rPr>
          <w:rFonts w:ascii="Times New Roman" w:cs="Times New Roman" w:eastAsia="Times New Roman" w:hAnsi="Times New Roman"/>
          <w:sz w:val="24"/>
          <w:szCs w:val="24"/>
        </w:rPr>
        <w:t xml:space="preserve"/>
      </w:r>
    </w:p>
    <w:p>
      <w:pPr>
        <w:spacing w:line="240" w:lineRule="auto"/>
        <w:ind w:firstLine="0"/>
        <w:jc w:val="left"/>
      </w:pPr>
      <w:r>
        <w:rPr>
          <w:rFonts w:ascii="Times New Roman" w:cs="Times New Roman" w:eastAsia="Times New Roman" w:hAnsi="Times New Roman"/>
          <w:sz w:val="24"/>
          <w:szCs w:val="24"/>
        </w:rPr>
        <w:t xml:space="preserve">-----------------------------------------------------------X</w:t>
      </w:r>
    </w:p>
    <w:p>
      <w:pPr>
        <w:spacing w:line="240" w:lineRule="auto"/>
      </w:pPr>
      <w:r>
        <w:rPr>
          <w:rFonts w:ascii="Times New Roman" w:cs="Times New Roman" w:eastAsia="Times New Roman" w:hAnsi="Times New Roman"/>
          <w:sz w:val="24"/>
          <w:szCs w:val="24"/>
        </w:rPr>
        <w:t xml:space="preserve"/>
      </w:r>
    </w:p>
    <w:p>
      <w:pPr>
        <w:spacing w:line="240" w:lineRule="auto"/>
        <w:ind w:firstLine="0"/>
        <w:jc w:val="right"/>
      </w:pPr>
      <w:r>
        <w:rPr>
          <w:rFonts w:ascii="Times New Roman" w:cs="Times New Roman" w:eastAsia="Times New Roman" w:hAnsi="Times New Roman"/>
          <w:sz w:val="24"/>
          <w:szCs w:val="24"/>
        </w:rPr>
        <w:t xml:space="preserve">Before: Hon. [Karen Bailey Turner]</w:t>
      </w:r>
    </w:p>
    <w:p>
      <w:pPr>
        <w:spacing w:line="240" w:lineRule="auto"/>
      </w:pPr>
      <w:r>
        <w:rPr>
          <w:rFonts w:ascii="Times New Roman" w:cs="Times New Roman" w:eastAsia="Times New Roman" w:hAnsi="Times New Roman"/>
          <w:sz w:val="24"/>
          <w:szCs w:val="24"/>
        </w:rPr>
        <w:t xml:space="preserve"/>
      </w:r>
    </w:p>
    <w:p>
      <w:pPr>
        <w:spacing w:line="240" w:lineRule="auto"/>
        <w:ind w:firstLine="0"/>
        <w:jc w:val="right"/>
      </w:pPr>
      <w:r>
        <w:rPr>
          <w:rFonts w:ascii="Times New Roman" w:cs="Times New Roman" w:eastAsia="Times New Roman" w:hAnsi="Times New Roman"/>
          <w:sz w:val="24"/>
          <w:szCs w:val="24"/>
        </w:rPr>
        <w:t xml:space="preserve">Hearing Date: September 11, 2026</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ind w:firstLine="0"/>
        <w:jc w:val="center"/>
      </w:pPr>
      <w:r>
        <w:rPr>
          <w:rFonts w:ascii="Times New Roman" w:cs="Times New Roman" w:eastAsia="Times New Roman" w:hAnsi="Times New Roman"/>
          <w:b/>
          <w:bCs/>
          <w:sz w:val="24"/>
          <w:szCs w:val="24"/>
        </w:rPr>
        <w:t xml:space="preserve">MEMORANDUM OF LAW IN SUPPORT OF RESPONDENT'S APPLICATION FOR A DOWNWARD DEPARTURE TO RISK LEVEL TWO</w:t>
      </w:r>
    </w:p>
    <w:p>
      <w:pPr>
        <w:spacing w:line="240" w:lineRule="auto"/>
      </w:pPr>
      <w:r>
        <w:rPr>
          <w:rFonts w:ascii="Times New Roman" w:cs="Times New Roman" w:eastAsia="Times New Roman" w:hAnsi="Times New Roman"/>
          <w:sz w:val="24"/>
          <w:szCs w:val="24"/>
        </w:rPr>
        <w:t xml:space="preserve"/>
      </w:r>
    </w:p>
    <w:p>
      <w:pPr>
        <w:spacing w:after="240" w:before="480" w:line="240" w:lineRule="auto"/>
        <w:ind w:firstLine="0"/>
        <w:jc w:val="center"/>
      </w:pPr>
      <w:r>
        <w:rPr>
          <w:rFonts w:ascii="Times New Roman" w:cs="Times New Roman" w:eastAsia="Times New Roman" w:hAnsi="Times New Roman"/>
          <w:b/>
          <w:bCs/>
          <w:sz w:val="24"/>
          <w:szCs w:val="24"/>
        </w:rPr>
        <w:t xml:space="preserve">PRELIMINARY STATEMENT</w:t>
      </w:r>
    </w:p>
    <w:p>
      <w:pPr>
        <w:spacing w:line="480" w:lineRule="auto"/>
        <w:ind w:firstLine="720"/>
        <w:jc w:val="both"/>
      </w:pPr>
      <w:r>
        <w:rPr>
          <w:rFonts w:ascii="Times New Roman" w:cs="Times New Roman" w:eastAsia="Times New Roman" w:hAnsi="Times New Roman"/>
          <w:sz w:val="24"/>
          <w:szCs w:val="24"/>
        </w:rPr>
        <w:t xml:space="preserve">The New York State Board of Examiners of Sex Offenders ("the Board") has recommended that Jeffrey Bernecky be classified a Risk Level Three sex offender. That recommendation does not rest on how the Board's own instrument scored his conduct. It rests entirely on a single override provision — Override 1, triggered by a prior felony sex-crime conviction — that the Board's Risk Assessment Guidelines treat as automatically producing a Level Three classification once the predicate conviction is shown, without regard to what the offender actually did or what an individualized risk assessment would otherwise show.</w:t>
      </w:r>
    </w:p>
    <w:p>
      <w:pPr>
        <w:spacing w:line="480" w:lineRule="auto"/>
        <w:ind w:firstLine="720"/>
        <w:jc w:val="both"/>
      </w:pPr>
      <w:r>
        <w:rPr>
          <w:rFonts w:ascii="Times New Roman" w:cs="Times New Roman" w:eastAsia="Times New Roman" w:hAnsi="Times New Roman"/>
          <w:sz w:val="24"/>
          <w:szCs w:val="24"/>
        </w:rPr>
        <w:t xml:space="preserve">Respondent does not dispute that Override 1 applies as a technical matter: he has a qualifying 2012 federal felony conviction, and he does not contest that the Board has proven its existence. Nor does Respondent contest a Risk Level Two classification. What Respondent seeks is a downward departure from the presumptive Level Three to Level Two — the same relief New York courts have granted in comparable child-pornography cases, and the classification the Board's own scoring instrument would place him closer to than the one it recommends.</w:t>
      </w:r>
    </w:p>
    <w:p>
      <w:pPr>
        <w:spacing w:line="480" w:lineRule="auto"/>
        <w:ind w:firstLine="720"/>
        <w:jc w:val="both"/>
      </w:pPr>
      <w:r>
        <w:rPr>
          <w:rFonts w:ascii="Times New Roman" w:cs="Times New Roman" w:eastAsia="Times New Roman" w:hAnsi="Times New Roman"/>
          <w:sz w:val="24"/>
          <w:szCs w:val="24"/>
        </w:rPr>
        <w:t xml:space="preserve">This memorandum presents that request on three grounds. First, and primarily, Respondent has met his burden under People v. Gillotti, 23 N.Y.3d 841 (2014), to show by a preponderance of the evidence that a downward departure is warranted: both of Respondent's convictions are purely digital, image-based offenses with no contact-offense conduct charged or convicted in either one, his own Risk Assessment Instrument scores zero on every factor that measures contact-offense risk, and the Court of Appeals has directed SORA courts to give "particularly strong consideration" to exactly this kind of over-classification risk when a child-pornography offender seeks departure. Id. at 860.</w:t>
      </w:r>
    </w:p>
    <w:p>
      <w:pPr>
        <w:spacing w:line="480" w:lineRule="auto"/>
        <w:ind w:firstLine="720"/>
        <w:jc w:val="both"/>
      </w:pPr>
      <w:r>
        <w:rPr>
          <w:rFonts w:ascii="Times New Roman" w:cs="Times New Roman" w:eastAsia="Times New Roman" w:hAnsi="Times New Roman"/>
          <w:sz w:val="24"/>
          <w:szCs w:val="24"/>
        </w:rPr>
        <w:t xml:space="preserve">Second, the record the Board built that recommendation on cannot bear the weight the Board has put on it. Nearly every fact supporting the Board's Level Three recommendation — the volume of material, the admissions, the narrative of an offender undeterred by "prior detection, sanction and treatment" — comes not from a document New York SORA courts see and evaluate routinely, but from the Board's own paraphrase of a federal presentence report, itself already a federal probation officer's summary of a police report, without a single citation to a page of that report anywhere in the Board's four-page account. People v. Mingo, 12 N.Y.3d 563, 573-74 (2009), excuses the case summaries and presentence reports SORA courts ordinarily see from any foundation requirement precisely because their "origins and function are well-known to SORA courts" — a familiarity built on the New York probation process that produces them. No court has extended that rule to a document assembled this way, and this Court should not be the first to do so without requiring the foundation Mingo itself would demand of anything else. That gap, credited on its own terms, independently supports the same relief; it also reinforces the departure and override grounds below by stripping the Board's key conclusions of the weight they would otherwise carry.</w:t>
      </w:r>
    </w:p>
    <w:p>
      <w:pPr>
        <w:spacing w:line="480" w:lineRule="auto"/>
        <w:ind w:firstLine="720"/>
        <w:jc w:val="both"/>
      </w:pPr>
      <w:r>
        <w:rPr>
          <w:rFonts w:ascii="Times New Roman" w:cs="Times New Roman" w:eastAsia="Times New Roman" w:hAnsi="Times New Roman"/>
          <w:sz w:val="24"/>
          <w:szCs w:val="24"/>
        </w:rPr>
        <w:t xml:space="preserve">Third, and in the alternative — should the Court conclude that neither of the first two grounds itself warrants departure — Respondent submits that Override 1 cannot lawfully substitute for the individualized "threat to public safety" finding that Correction Law § 168-l(6) separately requires before any offender may be classified Level Three. The Board's own Case Summary makes the conflation explicit, treating the bare existence of a prior conviction as itself "compelling evidence" of a public-safety threat "not captured by scoring alone." That is not what the statute the Guidelines implement says, and it is not how New York treats comparably serious dangerousness findings in any analogous civil proceeding. This ground is preserved and argued in full below, independent of the departure analysis.</w:t>
      </w:r>
    </w:p>
    <w:p>
      <w:pPr>
        <w:spacing w:line="480" w:lineRule="auto"/>
        <w:ind w:firstLine="720"/>
        <w:jc w:val="both"/>
      </w:pPr>
      <w:r>
        <w:rPr>
          <w:rFonts w:ascii="Times New Roman" w:cs="Times New Roman" w:eastAsia="Times New Roman" w:hAnsi="Times New Roman"/>
          <w:sz w:val="24"/>
          <w:szCs w:val="24"/>
        </w:rPr>
        <w:t xml:space="preserve">All three grounds ask for the same relief: a Risk Level Two classification.</w:t>
      </w:r>
    </w:p>
    <w:p>
      <w:pPr>
        <w:spacing w:after="240" w:before="480" w:line="240" w:lineRule="auto"/>
        <w:ind w:firstLine="0"/>
        <w:jc w:val="center"/>
      </w:pPr>
      <w:r>
        <w:rPr>
          <w:rFonts w:ascii="Times New Roman" w:cs="Times New Roman" w:eastAsia="Times New Roman" w:hAnsi="Times New Roman"/>
          <w:b/>
          <w:bCs/>
          <w:sz w:val="24"/>
          <w:szCs w:val="24"/>
        </w:rPr>
        <w:t xml:space="preserve">STATEMENT OF FACTS</w:t>
      </w:r>
    </w:p>
    <w:p>
      <w:pPr>
        <w:spacing w:line="480" w:lineRule="auto"/>
        <w:ind w:firstLine="720"/>
        <w:jc w:val="both"/>
      </w:pPr>
      <w:r>
        <w:rPr>
          <w:rFonts w:ascii="Times New Roman" w:cs="Times New Roman" w:eastAsia="Times New Roman" w:hAnsi="Times New Roman"/>
          <w:sz w:val="24"/>
          <w:szCs w:val="24"/>
        </w:rPr>
        <w:t xml:space="preserve">Neither of Respondent's two convictions — the instant offense or the 2012 predicate that triggers Override 1 — involves any contact offense. Both are federal child-pornography offenses prosecuted under 18 U.S.C. § 2252A; neither indictment charged, and neither conviction rests on, any allegation that Respondent touched, approached, or had any in-person sexual contact with a victim in connection with either crime. That fact frames everything that follows and is not disputed anywhere in the Board's own file.</w:t>
      </w:r>
    </w:p>
    <w:p>
      <w:pPr>
        <w:spacing w:after="200" w:before="360" w:line="240" w:lineRule="auto"/>
        <w:ind w:firstLine="0"/>
        <w:jc w:val="left"/>
      </w:pPr>
      <w:r>
        <w:rPr>
          <w:rFonts w:ascii="Times New Roman" w:cs="Times New Roman" w:eastAsia="Times New Roman" w:hAnsi="Times New Roman"/>
          <w:b/>
          <w:bCs/>
          <w:sz w:val="24"/>
          <w:szCs w:val="24"/>
        </w:rPr>
        <w:t xml:space="preserve">The Board's Recommendation</w:t>
      </w:r>
    </w:p>
    <w:p>
      <w:pPr>
        <w:spacing w:line="480" w:lineRule="auto"/>
        <w:ind w:firstLine="720"/>
        <w:jc w:val="both"/>
      </w:pPr>
      <w:r>
        <w:rPr>
          <w:rFonts w:ascii="Times New Roman" w:cs="Times New Roman" w:eastAsia="Times New Roman" w:hAnsi="Times New Roman"/>
          <w:sz w:val="24"/>
          <w:szCs w:val="24"/>
        </w:rPr>
        <w:t xml:space="preserve">By letter dated July 30, 2026, the Monroe County Supreme &amp; County Courts notified Respondent that a risk-level classification hearing had been scheduled for September 11, 2026, before this Court. Separately, by cover memorandum dated July 23, 2026, the Board forwarded its recommendation package, consisting of a Risk Assessment Instrument ("RAI"), a four-page Case Summary, and a Sex Offender Designation Form (collectively, "the Board's Recommendation Package," attached hereto as Ex. A).</w:t>
      </w:r>
    </w:p>
    <w:p>
      <w:pPr>
        <w:spacing w:line="480" w:lineRule="auto"/>
        <w:ind w:firstLine="720"/>
        <w:jc w:val="both"/>
      </w:pPr>
      <w:r>
        <w:rPr>
          <w:rFonts w:ascii="Times New Roman" w:cs="Times New Roman" w:eastAsia="Times New Roman" w:hAnsi="Times New Roman"/>
          <w:sz w:val="24"/>
          <w:szCs w:val="24"/>
        </w:rPr>
        <w:t xml:space="preserve">The RAI scores Respondent's Total Risk Factor Score at 70 points, composed entirely of three factors: 30 points for the age of the children depicted in the instant offense (under 11), 30 points for the existence of the 2012 prior felony sex-crime conviction, and 10 points for the recency of that prior conviction. RAI (Ex. A) at Parts I-II. Every other scorable factor on the instrument — including Factor 1 (use of violence or forcible compulsion), Factor 2 (sexual contact with the victim), Factor 3 (number of victims), Factor 6 (other victim characteristics), Factor 7 (relationship with the victim), Factor 12 (acceptance of responsibility), and Factor 13 (conduct while confined or supervised) — is scored zero. Id. A raw score of 70 falls squarely within the RAI's own printed "Level 1 (low) = 0 to +70" band, and the Board's Case Summary itself acknowledges as much: "Mr. Bernecky is assessed as a Level I (Low) risk." Case Summary (Ex. A) at 3.</w:t>
      </w:r>
    </w:p>
    <w:p>
      <w:pPr>
        <w:spacing w:line="480" w:lineRule="auto"/>
        <w:ind w:firstLine="720"/>
        <w:jc w:val="both"/>
      </w:pPr>
      <w:r>
        <w:rPr>
          <w:rFonts w:ascii="Times New Roman" w:cs="Times New Roman" w:eastAsia="Times New Roman" w:hAnsi="Times New Roman"/>
          <w:sz w:val="24"/>
          <w:szCs w:val="24"/>
        </w:rPr>
        <w:t xml:space="preserve">The RAI nonetheless marks "Override 1 — Offender has a prior felony conviction for a sex crime," which the form states makes the offender "presumptively a Level 3." RAI (Ex. A), Part A. The Departure section of the same instrument shows the Board considered and rejected a departure. Id., Part B. The Case Summary explains why: the prior conviction "automatically results in a presumptive Risk Level III, as this provides compelling evidence that he poses a serious risk to public safety that is not captured by scoring alone," and "no departure is recommended as prior detection, sanction and treatment have not deterred his conduct." Case Summary (Ex. A) at 3. Neither sentence cites a page of anything. Indeed, nowhere in the Case Summary's four pages — not once, as to either the 2012 conviction or the instant offense — does the Board cite a specific page of the underlying presentence report for any fact it recites. Every image count, every admission, every characterization of Respondent's conduct arrives in this Court's hands as the Board's own unattributed narrative. That omission matters, and Point II below explains exactly why.</w:t>
      </w:r>
    </w:p>
    <w:p>
      <w:pPr>
        <w:spacing w:line="480" w:lineRule="auto"/>
        <w:ind w:firstLine="720"/>
        <w:jc w:val="both"/>
      </w:pPr>
      <w:r>
        <w:rPr>
          <w:rFonts w:ascii="Times New Roman" w:cs="Times New Roman" w:eastAsia="Times New Roman" w:hAnsi="Times New Roman"/>
          <w:sz w:val="24"/>
          <w:szCs w:val="24"/>
        </w:rPr>
        <w:t xml:space="preserve">The Case Summary separately invokes a Board "Position Statement" dated June 1, 2012, for the proposition that Respondent "has demonstrated the inability to manage his sexual urges and returned to seeking out images of child pornography." Id. That statement, in fact, addresses only the scoring of RAI Factors 3 and 7 in child-pornography cases and a separate override for clinical mental-abnormality assessment. It says nothing about Override 1. It says nothing about a general inability to manage sexual urges. The Board did not misremember its own document; it cited a specific document, by name and date, for a specific proposition, and that proposition appears nowhere in the four corners of what it cited. This Court should not accept a citation on faith that does not survive being checked against the document it cites.</w:t>
      </w:r>
    </w:p>
    <w:p>
      <w:pPr>
        <w:spacing w:line="480" w:lineRule="auto"/>
        <w:ind w:firstLine="720"/>
        <w:jc w:val="both"/>
      </w:pPr>
      <w:r>
        <w:rPr>
          <w:rFonts w:ascii="Times New Roman" w:cs="Times New Roman" w:eastAsia="Times New Roman" w:hAnsi="Times New Roman"/>
          <w:sz w:val="24"/>
          <w:szCs w:val="24"/>
        </w:rPr>
        <w:t xml:space="preserve">The Sex Offender Designation Form separately marks Respondent a "Predicate Sex Offender" under Correction Law § 168-a, based on his two qualifying federal child-pornography convictions. Designation Form (Ex. A) at 2-3. That designation governs registration duration and is not disputed here; it is distinct from, and has no bearing on, the risk-level classification at issue in this application.</w:t>
      </w:r>
    </w:p>
    <w:p>
      <w:pPr>
        <w:spacing w:after="200" w:before="360" w:line="240" w:lineRule="auto"/>
        <w:ind w:firstLine="0"/>
        <w:jc w:val="left"/>
      </w:pPr>
      <w:r>
        <w:rPr>
          <w:rFonts w:ascii="Times New Roman" w:cs="Times New Roman" w:eastAsia="Times New Roman" w:hAnsi="Times New Roman"/>
          <w:b/>
          <w:bCs/>
          <w:sz w:val="24"/>
          <w:szCs w:val="24"/>
        </w:rPr>
        <w:t xml:space="preserve">The Instant Offense</w:t>
      </w:r>
    </w:p>
    <w:p>
      <w:pPr>
        <w:spacing w:line="480" w:lineRule="auto"/>
        <w:ind w:firstLine="720"/>
        <w:jc w:val="both"/>
      </w:pPr>
      <w:r>
        <w:rPr>
          <w:rFonts w:ascii="Times New Roman" w:cs="Times New Roman" w:eastAsia="Times New Roman" w:hAnsi="Times New Roman"/>
          <w:sz w:val="24"/>
          <w:szCs w:val="24"/>
        </w:rPr>
        <w:t xml:space="preserve">Respondent was convicted by guilty plea in the United States District Court for the Western District of New York, on February 15, 2018, of possession of child pornography involving prepubescent minors following a prior conviction, in violation of 18 U.S.C. §§ 2252A(a)(5)(B) and 2252A(b)(2), and was sentenced to 120 months' imprisonment followed by 10 years of supervised release. Case Summary (Ex. A) at 1. The offense was detected on December 8, 2017, during a routine home inspection by Respondent's supervising probation officer, who found a cell phone Respondent had initially claimed belonged to a coworker. Respondent admitted the phone was his and admitted it contained child pornography he had downloaded from the Tor network. Id. A forensic review recovered approximately 200 images and 25 videos, including one depicting an approximately 8-year-old boy performing oral sex on an adult male and one depicting two approximately 10-year-old boys engaging in oral and anal sex with each other. Id. This conduct is squarely possession- and receipt-based. No count charged, and no fact in the record describes, any contact between Respondent and any child in connection with this offense.</w:t>
      </w:r>
    </w:p>
    <w:p>
      <w:pPr>
        <w:spacing w:after="200" w:before="360" w:line="240" w:lineRule="auto"/>
        <w:ind w:firstLine="0"/>
        <w:jc w:val="left"/>
      </w:pPr>
      <w:r>
        <w:rPr>
          <w:rFonts w:ascii="Times New Roman" w:cs="Times New Roman" w:eastAsia="Times New Roman" w:hAnsi="Times New Roman"/>
          <w:b/>
          <w:bCs/>
          <w:sz w:val="24"/>
          <w:szCs w:val="24"/>
        </w:rPr>
        <w:t xml:space="preserve">The 2012 Predicate Conviction</w:t>
      </w:r>
    </w:p>
    <w:p>
      <w:pPr>
        <w:spacing w:line="480" w:lineRule="auto"/>
        <w:ind w:firstLine="720"/>
        <w:jc w:val="both"/>
      </w:pPr>
      <w:r>
        <w:rPr>
          <w:rFonts w:ascii="Times New Roman" w:cs="Times New Roman" w:eastAsia="Times New Roman" w:hAnsi="Times New Roman"/>
          <w:sz w:val="24"/>
          <w:szCs w:val="24"/>
        </w:rPr>
        <w:t xml:space="preserve">On January 17, 2012, in the same federal district, Respondent was convicted by guilty plea of distribution of child pornography and possession of child pornography, in violation of 18 U.S.C. §§ 2252A(a)(1) and 2252A(a)(5)(B), and was sentenced to 60 months' imprisonment and 180 months' supervised release. Case Summary (Ex. A) at 2. That offense involved a considerably larger volume of material — approximately 62,000 shared files and 8,811 videos, some depicting sadistic or masochistic content, obtained through peer-to-peer file sharing. Id. In a 2010 interview, Respondent admitted he "could not help what he was doing," that he viewed the material to masturbate, and that if he did not have images to view he "might be tempted" to seek contact with a child. Id. These are serious, aggravating admissions, and this memorandum does not minimize them. They are also, on their face, admissions about a compulsion toward image-based conduct — not an account of any actual contact offense. As with the instant offense, the 2012 conviction charged and rests entirely on distribution and possession, not contact.</w:t>
      </w:r>
    </w:p>
    <w:p>
      <w:pPr>
        <w:spacing w:line="480" w:lineRule="auto"/>
        <w:ind w:firstLine="720"/>
        <w:jc w:val="both"/>
      </w:pPr>
      <w:r>
        <w:rPr>
          <w:rFonts w:ascii="Times New Roman" w:cs="Times New Roman" w:eastAsia="Times New Roman" w:hAnsi="Times New Roman"/>
          <w:sz w:val="24"/>
          <w:szCs w:val="24"/>
        </w:rPr>
        <w:t xml:space="preserve">Respondent's supervision on the 2012 conviction began July 7, 2016; he committed the instant offense less than two years later, which is why the RAI scores 10 points for recency. Id. That recency is a genuinely aggravating fact, addressed directly below. It is not, however, evidence of any contact offense.</w:t>
      </w:r>
    </w:p>
    <w:p>
      <w:pPr>
        <w:spacing w:after="200" w:before="360" w:line="240" w:lineRule="auto"/>
        <w:ind w:firstLine="0"/>
        <w:jc w:val="left"/>
      </w:pPr>
      <w:r>
        <w:rPr>
          <w:rFonts w:ascii="Times New Roman" w:cs="Times New Roman" w:eastAsia="Times New Roman" w:hAnsi="Times New Roman"/>
          <w:b/>
          <w:bCs/>
          <w:sz w:val="24"/>
          <w:szCs w:val="24"/>
        </w:rPr>
        <w:t xml:space="preserve">The 2018 SORA Classification of the Same 2012 Conduct</w:t>
      </w:r>
    </w:p>
    <w:p>
      <w:pPr>
        <w:spacing w:line="480" w:lineRule="auto"/>
        <w:ind w:firstLine="720"/>
        <w:jc w:val="both"/>
      </w:pPr>
      <w:r>
        <w:rPr>
          <w:rFonts w:ascii="Times New Roman" w:cs="Times New Roman" w:eastAsia="Times New Roman" w:hAnsi="Times New Roman"/>
          <w:sz w:val="24"/>
          <w:szCs w:val="24"/>
        </w:rPr>
        <w:t xml:space="preserve">This is not the first time a court has been asked to classify Respondent's risk level based on this same 2012 conduct. In 2018, the Fourth Department affirmed a Monroe County classification of Respondent as a Risk Level Two offender on the 2012 conviction, reached through ordinary point scoring under RAI Factors 3 and 7 — no override was in play in that proceeding at all. People v. Bernecky, 161 A.D.3d 1540 (4th Dep't 2018), lv denied, 32 N.Y.3d 901 (2018). The Fourth Department affirmed denial of a further departure to Level One, relying expressly on the fact that Respondent "possessed an extraordinary number of pornographic images, including depictions of sexual acts involving children, violence, and bestiality." Id. at 1541. That decision is addressed in full, and its significance to the arguments below is addressed candidly, in Point III below.</w:t>
      </w:r>
    </w:p>
    <w:p>
      <w:pPr>
        <w:spacing w:after="200" w:before="360" w:line="240" w:lineRule="auto"/>
        <w:ind w:firstLine="0"/>
        <w:jc w:val="left"/>
      </w:pPr>
      <w:r>
        <w:rPr>
          <w:rFonts w:ascii="Times New Roman" w:cs="Times New Roman" w:eastAsia="Times New Roman" w:hAnsi="Times New Roman"/>
          <w:b/>
          <w:bCs/>
          <w:sz w:val="24"/>
          <w:szCs w:val="24"/>
        </w:rPr>
        <w:t xml:space="preserve">Treatment Engagement and Post-Offense Conduct</w:t>
      </w:r>
    </w:p>
    <w:p>
      <w:pPr>
        <w:spacing w:line="480" w:lineRule="auto"/>
        <w:ind w:firstLine="720"/>
        <w:jc w:val="both"/>
      </w:pPr>
      <w:r>
        <w:rPr>
          <w:rFonts w:ascii="Times New Roman" w:cs="Times New Roman" w:eastAsia="Times New Roman" w:hAnsi="Times New Roman"/>
          <w:sz w:val="24"/>
          <w:szCs w:val="24"/>
        </w:rPr>
        <w:t xml:space="preserve">Respondent was engaged in sex-offender treatment at Endeavor — weekly group sessions and monthly individual sessions — both before and during the instant offense; he was in "phase two" of that treatment when he committed it. Case Summary (Ex. A) at 2-3. A 2016 evaluation reports he denied any current attraction to children. Id. at 3. In May 2017, following an earlier failed sexual-history polygraph attributed to a misunderstanding about the scope of "sexual contact," Respondent underwent a polygraph re-test during which he disclosed two prior incidents: in 2005, at age 16, while working at a children's day camp, a 9-year-old sat on his lap on the camp bus, which he reported caused him to become sexually aroused; and in 2007, at age 18, while working at an after-school program, a 12-year-old sat on his back, with the same reported effect. Id. Neither incident resulted in a charge, an arrest, or a conviction, then or since. Neither involves any allegation that Respondent touched, undressed, or acted upon either child — the contact described was initiated by the child in an ordinary supervised setting, and what is recorded against Respondent is his own internal response, not an overt act. Following that disclosure, "no deception was indicated" on the re-test, and Respondent's counselor reported that he "took accountability for his actions and showed insight into his offending behavior." Id. The Board's own quantitative instrument did not score either incident: RAI Factors 2, 3, and 7 are all zero notwithstanding the Case Summary's narrative inclusion of this history. RAI (Ex. A), Part I.</w:t>
      </w:r>
    </w:p>
    <w:p>
      <w:pPr>
        <w:spacing w:line="480" w:lineRule="auto"/>
        <w:ind w:firstLine="720"/>
        <w:jc w:val="both"/>
      </w:pPr>
      <w:r>
        <w:rPr>
          <w:rFonts w:ascii="Times New Roman" w:cs="Times New Roman" w:eastAsia="Times New Roman" w:hAnsi="Times New Roman"/>
          <w:sz w:val="24"/>
          <w:szCs w:val="24"/>
        </w:rPr>
        <w:t xml:space="preserve">The Case Summary describes Respondent's conduct while confined in the Bureau of Prisons and while residing at his current reentry facility as "satisfactory, absent any information to the contrary." Case Summary (Ex. A) at 3. He submitted to five random drug screens while under supervision, all negative. Id. at 2.</w:t>
      </w:r>
    </w:p>
    <w:p>
      <w:pPr>
        <w:spacing w:line="480" w:lineRule="auto"/>
        <w:ind w:firstLine="720"/>
        <w:jc w:val="both"/>
      </w:pPr>
      <w:r>
        <w:rPr>
          <w:rFonts w:ascii="Times New Roman" w:cs="Times New Roman" w:eastAsia="Times New Roman" w:hAnsi="Times New Roman"/>
          <w:sz w:val="24"/>
          <w:szCs w:val="24"/>
        </w:rPr>
        <w:t xml:space="preserve">With the record so framed — two convictions, both purely digital, neither involving contact conduct, the RAI's own instrument scoring zero on every contact-related factor, and a raw point total that the RAI's own printed table places in the "Level 1 (low)" band — Respondent turns to the legal argument for departure.</w:t>
      </w:r>
    </w:p>
    <w:p>
      <w:pPr>
        <w:spacing w:after="240" w:before="480" w:line="240" w:lineRule="auto"/>
        <w:ind w:firstLine="0"/>
        <w:jc w:val="center"/>
      </w:pPr>
      <w:r>
        <w:rPr>
          <w:rFonts w:ascii="Times New Roman" w:cs="Times New Roman" w:eastAsia="Times New Roman" w:hAnsi="Times New Roman"/>
          <w:b/>
          <w:bCs/>
          <w:sz w:val="24"/>
          <w:szCs w:val="24"/>
        </w:rPr>
        <w:t xml:space="preserve">ARGUMENT</w:t>
      </w:r>
    </w:p>
    <w:p>
      <w:pPr>
        <w:spacing w:after="200" w:before="360" w:line="240" w:lineRule="auto"/>
        <w:ind w:firstLine="0"/>
        <w:jc w:val="left"/>
      </w:pPr>
      <w:r>
        <w:rPr>
          <w:rFonts w:ascii="Times New Roman" w:cs="Times New Roman" w:eastAsia="Times New Roman" w:hAnsi="Times New Roman"/>
          <w:b/>
          <w:bCs/>
          <w:sz w:val="24"/>
          <w:szCs w:val="24"/>
        </w:rPr>
        <w:t xml:space="preserve">POINT I: A DOWNWARD DEPARTURE TO RISK LEVEL TWO IS WARRANTED BECAUSE THIS RECORD PRESENTS, IN AS PURE A FORM AS IT CAN APPEAR, THE EXACT OVER-CLASSIFICATION RISK THE COURT OF APPEALS HAS DIRECTED SORA COURTS TO GUARD AGAINST</w:t>
      </w:r>
    </w:p>
    <w:p>
      <w:pPr>
        <w:spacing w:after="160" w:before="320" w:line="240" w:lineRule="auto"/>
        <w:ind w:firstLine="0"/>
        <w:jc w:val="left"/>
      </w:pPr>
      <w:r>
        <w:rPr>
          <w:rFonts w:ascii="Times New Roman" w:cs="Times New Roman" w:eastAsia="Times New Roman" w:hAnsi="Times New Roman"/>
          <w:b/>
          <w:bCs/>
          <w:sz w:val="24"/>
          <w:szCs w:val="24"/>
        </w:rPr>
        <w:t xml:space="preserve">A. The Governing Standard</w:t>
      </w:r>
    </w:p>
    <w:p>
      <w:pPr>
        <w:spacing w:line="480" w:lineRule="auto"/>
        <w:ind w:firstLine="720"/>
        <w:jc w:val="both"/>
      </w:pPr>
      <w:r>
        <w:rPr>
          <w:rFonts w:ascii="Times New Roman" w:cs="Times New Roman" w:eastAsia="Times New Roman" w:hAnsi="Times New Roman"/>
          <w:sz w:val="24"/>
          <w:szCs w:val="24"/>
        </w:rPr>
        <w:t xml:space="preserve">A defendant seeking a downward departure from a presumptive SORA risk level — including a departure from an automatic override — must first identify, as a matter of law, a mitigating factor of a kind or degree not already accounted for by the Guidelines. Gillotti, 23 N.Y.3d at 861. Only if that showing is made does the Court proceed to a discretionary weighing of aggravating and mitigating circumstances under the totality of the circumstances. Id. Gillotti resolved a prior split among the Appellate Division departments and fixed the defendant's burden at preponderance — not the higher clear-and-convincing standard the People bear in establishing the classification in the first instance. Id. at 863-64 ("we hold that a defendant must prove the existence of the mitigating circumstances upon which he or she relies in advocating for a departure by a mere preponderance of the evidence").</w:t>
      </w:r>
    </w:p>
    <w:p>
      <w:pPr>
        <w:spacing w:line="480" w:lineRule="auto"/>
        <w:ind w:firstLine="720"/>
        <w:jc w:val="both"/>
      </w:pPr>
      <w:r>
        <w:rPr>
          <w:rFonts w:ascii="Times New Roman" w:cs="Times New Roman" w:eastAsia="Times New Roman" w:hAnsi="Times New Roman"/>
          <w:sz w:val="24"/>
          <w:szCs w:val="24"/>
        </w:rPr>
        <w:t xml:space="preserve">This standard governs override-based departures no less than points-based ones. The Court of Appeals has said so directly: in People v. Moss, 43 N.Y.3d 584 (2025) — an override case arising, as this one does, from Monroe County — the Court observed that even where an override applies without dispute, departure remains "a discretionary remedy available under SORA," and that a SORA court "could properly consider" whether to depart from an offender's presumptive classification notwithstanding the override. Id. at 589 (citing Gillotti, 23 N.Y.3d at 861). Departure, not a challenge to the override's validity, is the correct vehicle for an override-adjacent argument of the kind Respondent presents.</w:t>
      </w:r>
    </w:p>
    <w:p>
      <w:pPr>
        <w:spacing w:line="480" w:lineRule="auto"/>
        <w:ind w:firstLine="720"/>
        <w:jc w:val="both"/>
      </w:pPr>
      <w:r>
        <w:rPr>
          <w:rFonts w:ascii="Times New Roman" w:cs="Times New Roman" w:eastAsia="Times New Roman" w:hAnsi="Times New Roman"/>
          <w:sz w:val="24"/>
          <w:szCs w:val="24"/>
        </w:rPr>
        <w:t xml:space="preserve">Respondent's raw point score cannot, standing alone, carry this showing. New York courts have squarely held that a pre-override point total below the presumptive level is not itself a valid mitigating factor, because an override "applies irrespective of the points scored on the risk assessment instrument." People v. Gunter, 217 A.D.3d 788, 790 (2d Dep't 2023) (quoting People v. Berry, 138 A.D.3d 945, 946 [2016]). Respondent does not ask this Court to depart on the strength of his 70-point score alone. He offers it, together with what that score is built from, as part of the totality of circumstances the departure inquiry requires the Court to weigh — and what it is built from is the heart of this argument.</w:t>
      </w:r>
    </w:p>
    <w:p>
      <w:pPr>
        <w:spacing w:after="160" w:before="320" w:line="240" w:lineRule="auto"/>
        <w:ind w:firstLine="0"/>
        <w:jc w:val="left"/>
      </w:pPr>
      <w:r>
        <w:rPr>
          <w:rFonts w:ascii="Times New Roman" w:cs="Times New Roman" w:eastAsia="Times New Roman" w:hAnsi="Times New Roman"/>
          <w:b/>
          <w:bCs/>
          <w:sz w:val="24"/>
          <w:szCs w:val="24"/>
        </w:rPr>
        <w:t xml:space="preserve">B. Both Offenses Are Purely Digital, and New York's Highest Court Has Recognized What That Means for Registration Built on a Contact-Offense Model</w:t>
      </w:r>
    </w:p>
    <w:p>
      <w:pPr>
        <w:spacing w:line="480" w:lineRule="auto"/>
        <w:ind w:firstLine="720"/>
        <w:jc w:val="both"/>
      </w:pPr>
      <w:r>
        <w:rPr>
          <w:rFonts w:ascii="Times New Roman" w:cs="Times New Roman" w:eastAsia="Times New Roman" w:hAnsi="Times New Roman"/>
          <w:sz w:val="24"/>
          <w:szCs w:val="24"/>
        </w:rPr>
        <w:t xml:space="preserve">The RAI scores zero on every factor that measures contact-offense conduct: no violence, no forcible compulsion, no sexual contact, no scored number of victims, no scored victim relationship. RAI (Ex. A), Part I. That is not defense argument. It is the Board's own instrument, applied by the Board's own examiner, to the Board's own record.</w:t>
      </w:r>
    </w:p>
    <w:p>
      <w:pPr>
        <w:spacing w:line="480" w:lineRule="auto"/>
        <w:ind w:firstLine="720"/>
        <w:jc w:val="both"/>
      </w:pPr>
      <w:r>
        <w:rPr>
          <w:rFonts w:ascii="Times New Roman" w:cs="Times New Roman" w:eastAsia="Times New Roman" w:hAnsi="Times New Roman"/>
          <w:sz w:val="24"/>
          <w:szCs w:val="24"/>
        </w:rPr>
        <w:t xml:space="preserve">The Court of Appeals has recognized, specifically as to child-pornography offenders, that mechanically applying a risk instrument built around a contact-offense model can produce over-classification. In People v. Johnson, 11 N.Y.3d 416 (2008), the Court held that children depicted in child pornography are "victims" of sex offenses within SORA's meaning, and — as the Court of Appeals later explained in Gillotti — went on to hold that assigning points to a child-pornography offender under Factor 7 "may sometimes result in an excessive risk calculation in a manner not contemplated by the guidelines or the statute," such that a SORA court should account for that anomaly through discretionary downward departure. Gillotti, 23 N.Y.3d at 845 (discussing Johnson, 11 N.Y.3d at 420-421). Gillotti itself went further, directing that "in deciding a child pornography offender's application for a downward departure, a SORA court should, in the exercise of its discretion, give particularly strong consideration to the possibility that adjudicating the offender in accordance with the guidelines point score and without departing downward might lead to an excessive level of registration." 23 N.Y.3d at 860. The Court acknowledged, in the same passage, that "the relationship between an offender's child pornography offenses and the likelihood he or she will commit hands-on offenses is uncertain due to the continuing development of scientific research." Id. at 859. That is not a throwaway observation. It forecloses any suggestion by the Board or the People that Respondent's history of image-based offending can be treated as settled proof of a propensity toward hands-on offending; the Court of Appeals has said plainly that the science does not support that inference as a categorical matter.</w:t>
      </w:r>
    </w:p>
    <w:p>
      <w:pPr>
        <w:spacing w:line="480" w:lineRule="auto"/>
        <w:ind w:firstLine="720"/>
        <w:jc w:val="both"/>
      </w:pPr>
      <w:r>
        <w:rPr>
          <w:rFonts w:ascii="Times New Roman" w:cs="Times New Roman" w:eastAsia="Times New Roman" w:hAnsi="Times New Roman"/>
          <w:sz w:val="24"/>
          <w:szCs w:val="24"/>
        </w:rPr>
        <w:t xml:space="preserve">The Fourth Department has put this principle into practice, in this Department, after Gillotti. In People v. Stagles, 222 A.D.3d 1341 (4th Dep't 2023), the Court modified a Cayuga County order and reduced a child-pornography-possession offender from Level Two to Level One, holding that the lower court's 90-point assessment under Factors 3 and 7 overestimated his true risk, and expressly quoting Gillotti's holding that "scoring points under factors 3 and 7 may overestimate the risk of reoffense and danger to the public posed by quite a few child pornography offenders" and that a SORA court should "give particularly strong consideration to the possibility that adjudicating the offender in accordance with the guidelines point score and without departing downward might lead to an excessive level of registration." Id. at 1343 (quoting Gillotti, 23 N.Y.3d at 860). This memorandum does not overstate the comparison: Stagles had no prior conviction, never shared his images, and received a probationary sentence, none of which is true of Respondent. Stagles's value here is not as a factual match. It is as controlling-department confirmation that the excessive-registration principle Gillotti announced is a live, operative rule in the courts that will hear this case and any appeal from it — not a dissent-only aspiration.</w:t>
      </w:r>
    </w:p>
    <w:p>
      <w:pPr>
        <w:spacing w:line="480" w:lineRule="auto"/>
        <w:ind w:firstLine="720"/>
        <w:jc w:val="both"/>
      </w:pPr>
      <w:r>
        <w:rPr>
          <w:rFonts w:ascii="Times New Roman" w:cs="Times New Roman" w:eastAsia="Times New Roman" w:hAnsi="Times New Roman"/>
          <w:sz w:val="24"/>
          <w:szCs w:val="24"/>
        </w:rPr>
        <w:t xml:space="preserve">The Third Department's decision in People v. Adams, 216 A.D.3d 1376 (3d Dep't 2023), confirms the same principle at Level Two specifically, which is the relief Respondent seeks here. There, a defendant whose RAI score alone yielded a presumptive Level One was assessed up to a presumptive Level Three through Factor 3 and 7 scoring; the County Court departed downward to Level Two — crediting the absence of physical contact with any victim, the absence of a paid subscription, a low image volume, and "exceptional" treatment participation — and the Appellate Division affirmed. Id. Adams did not involve an override, and this memorandum does not present it as though it did. It is offered for a narrower and still important point: New York courts, applying Gillotti's framework to child-pornography offenders, have granted exactly the relief requested here — a Level Two classification — based substantially on the same categories of fact present in this record: no contact, no paid distribution for profit, and documented treatment engagement.</w:t>
      </w:r>
    </w:p>
    <w:p>
      <w:pPr>
        <w:spacing w:after="160" w:before="320" w:line="240" w:lineRule="auto"/>
        <w:ind w:firstLine="0"/>
        <w:jc w:val="left"/>
      </w:pPr>
      <w:r>
        <w:rPr>
          <w:rFonts w:ascii="Times New Roman" w:cs="Times New Roman" w:eastAsia="Times New Roman" w:hAnsi="Times New Roman"/>
          <w:b/>
          <w:bCs/>
          <w:sz w:val="24"/>
          <w:szCs w:val="24"/>
        </w:rPr>
        <w:t xml:space="preserve">C. Respondent's Case Is, if Anything, a Stronger Candidate for This Theory Than the Cases That Have Applied It, Because the Override Itself Is Triggered by Digital Conduct</w:t>
      </w:r>
    </w:p>
    <w:p>
      <w:pPr>
        <w:spacing w:line="480" w:lineRule="auto"/>
        <w:ind w:firstLine="720"/>
        <w:jc w:val="both"/>
      </w:pPr>
      <w:r>
        <w:rPr>
          <w:rFonts w:ascii="Times New Roman" w:cs="Times New Roman" w:eastAsia="Times New Roman" w:hAnsi="Times New Roman"/>
          <w:sz w:val="24"/>
          <w:szCs w:val="24"/>
        </w:rPr>
        <w:t xml:space="preserve">The Board and the People are likely to point to People v. Gunter, 217 A.D.3d 788 (2d Dep't 2023), as the controlling override case, and this memorandum meets that authority directly rather than leaving it for reply. Gunter affirmed an Override 1 Level Three classification and rejected the defendant's proffered mitigating factors — his pre-override point total, unsupported family and housing evidence, a treatment response the court did not find exceptional, and unproven age and health claims — describing downward departures generally as "the exception... not the rule." Id. at 789-90. That is real, adopted, on-point authority, and this Court should expect the Board to rely on it.</w:t>
      </w:r>
    </w:p>
    <w:p>
      <w:pPr>
        <w:spacing w:line="480" w:lineRule="auto"/>
        <w:ind w:firstLine="720"/>
        <w:jc w:val="both"/>
      </w:pPr>
      <w:r>
        <w:rPr>
          <w:rFonts w:ascii="Times New Roman" w:cs="Times New Roman" w:eastAsia="Times New Roman" w:hAnsi="Times New Roman"/>
          <w:sz w:val="24"/>
          <w:szCs w:val="24"/>
        </w:rPr>
        <w:t xml:space="preserve">It is also genuinely distinguishable, on a fact that is not a matter of argument but of record: Gunter's override was triggered by a 1998 conviction for attempted rape in the first degree and sexual abuse in the first degree — contact offenses. Id. at 789. So was the override-triggering conviction in Moss, which arose from "course of sexual conduct against a child," 43 N.Y.3d at 586 — also a contact offense. Neither court had occasion to consider, because neither record presented, an offender whose override-triggering prior conviction is itself a purely image-based offense with no contact element, paired with an instant offense that is likewise purely image-based. Respondent's record presents that fact pattern in as clean a form as it can appear: neither the conviction that triggers the override nor the instant offense driving this proceeding involves any charged or convicted contact conduct. Gunter's rejection of a generic treatment-response or family-support showing does not resolve whether the excessive-registration principle Gillotti and Stagles applied — a principle specific to the digital, non-contact nature of the offense itself, not to the offender's post-offense conduct — carries the same force against an override triggered by that same kind of offense. No case in the body of authority reviewed for this application decides that question either way. This Court would not be disregarding controlling authority in granting departure here; it would be applying Gillotti's own directive to a fact pattern its adverse override cases have not yet presented.</w:t>
      </w:r>
    </w:p>
    <w:p>
      <w:pPr>
        <w:spacing w:after="160" w:before="320" w:line="240" w:lineRule="auto"/>
        <w:ind w:firstLine="0"/>
        <w:jc w:val="left"/>
      </w:pPr>
      <w:r>
        <w:rPr>
          <w:rFonts w:ascii="Times New Roman" w:cs="Times New Roman" w:eastAsia="Times New Roman" w:hAnsi="Times New Roman"/>
          <w:b/>
          <w:bCs/>
          <w:sz w:val="24"/>
          <w:szCs w:val="24"/>
        </w:rPr>
        <w:t xml:space="preserve">D. The Record's Hardest Fact — Reoffense During Treatment — Does Not Defeat This Showing, and Should Not Be Minimized</w:t>
      </w:r>
    </w:p>
    <w:p>
      <w:pPr>
        <w:spacing w:line="480" w:lineRule="auto"/>
        <w:ind w:firstLine="720"/>
        <w:jc w:val="both"/>
      </w:pPr>
      <w:r>
        <w:rPr>
          <w:rFonts w:ascii="Times New Roman" w:cs="Times New Roman" w:eastAsia="Times New Roman" w:hAnsi="Times New Roman"/>
          <w:sz w:val="24"/>
          <w:szCs w:val="24"/>
        </w:rPr>
        <w:t xml:space="preserve">The Case Summary states plainly that "no departure is recommended as prior detection, sanction and treatment have not deterred his conduct." Case Summary (Ex. A) at 3. That is a fair characterization of the record, and this memorandum does not dispute it: Respondent committed the instant offense while actively enrolled in sex-offender treatment and less than two years into supervision on the 2012 conviction. That fact belongs in this Court's weighing of the totality of the circumstances, and hiding from it would not serve Respondent's case.</w:t>
      </w:r>
    </w:p>
    <w:p>
      <w:pPr>
        <w:spacing w:line="480" w:lineRule="auto"/>
        <w:ind w:firstLine="720"/>
        <w:jc w:val="both"/>
      </w:pPr>
      <w:r>
        <w:rPr>
          <w:rFonts w:ascii="Times New Roman" w:cs="Times New Roman" w:eastAsia="Times New Roman" w:hAnsi="Times New Roman"/>
          <w:sz w:val="24"/>
          <w:szCs w:val="24"/>
        </w:rPr>
        <w:t xml:space="preserve">It does not, however, answer the question this departure application actually asks. The Gillotti/Stagles line of authority is not built on a claim that Respondent's treatment history proves he will never reoffend; it is built on the proposition that the RAI, applied mechanically to an image-only offender, risks a classification that overstates his risk of committing a contact offense specifically — the risk SORA's notification scheme is centrally designed to address. Reoffending by viewing more images is a serious, documented risk in this record. It is not evidence of a risk of hands-on sexual contact, which is precisely the inferential leap Gillotti held the current science does not support. 23 N.Y.3d at 859. The record here, in fact, cuts the other way on the narrower question that matters: when Respondent was confronted, in the same 2017 disclosure that led directly to this proceeding, with two decades-old, self-reported incidents involving physical proximity to minors, he disclosed them voluntarily, and the ensuing polygraph found "no deception." Case Summary (Ex. A) at 3. An offender concealing a genuine risk of hands-on contact from his own treatment provider does not ordinarily volunteer that history unprompted and then pass a polygraph on it. None of this excuses the reoffense, and none of it is offered to. What it supports is narrower and more precise than what the Board's blanket "prior detection, sanction and treatment have not deterred his conduct" formulation allows for: a continued risk of viewing more images, not a demonstrated risk of contact offending — which is exactly the distinction Gillotti requires this Court to draw. The next section develops why that distinction is not merely legally required, but factually accurate on this record.</w:t>
      </w:r>
    </w:p>
    <w:p>
      <w:pPr>
        <w:spacing w:after="160" w:before="320" w:line="240" w:lineRule="auto"/>
        <w:ind w:firstLine="0"/>
        <w:jc w:val="left"/>
      </w:pPr>
      <w:r>
        <w:rPr>
          <w:rFonts w:ascii="Times New Roman" w:cs="Times New Roman" w:eastAsia="Times New Roman" w:hAnsi="Times New Roman"/>
          <w:b/>
          <w:bCs/>
          <w:sz w:val="24"/>
          <w:szCs w:val="24"/>
        </w:rPr>
        <w:t xml:space="preserve">E. The Reoffense Is a Relapse Into the Same Compulsive Conduct, Not an Escalation Toward a Different and More Dangerous One</w:t>
      </w:r>
    </w:p>
    <w:p>
      <w:pPr>
        <w:spacing w:line="240" w:lineRule="auto"/>
        <w:ind w:left="1440" w:right="720" w:firstLine="0"/>
        <w:jc w:val="both"/>
      </w:pPr>
      <w:r>
        <w:rPr>
          <w:rFonts w:ascii="Times New Roman" w:cs="Times New Roman" w:eastAsia="Times New Roman" w:hAnsi="Times New Roman"/>
          <w:i/>
          <w:iCs/>
          <w:sz w:val="24"/>
          <w:szCs w:val="24"/>
        </w:rPr>
        <w:t xml:space="preserve">"It is an inferential fallacy of ancient standing to conclude that, because members of group A" (those who collect child pornography) "are likely to be members of group B" (those attracted to children), "then group B is entirely, or even largely composed of, members of group A." United States v. Falso, 544 F.3d 110, [pincite to be confirmed] (2d Cir. 2008) (Sotomayor, J.).</w:t>
      </w:r>
    </w:p>
    <w:p>
      <w:pPr>
        <w:spacing w:line="480" w:lineRule="auto"/>
        <w:ind w:firstLine="720"/>
        <w:jc w:val="both"/>
      </w:pPr>
      <w:r>
        <w:rPr>
          <w:rFonts w:ascii="Times New Roman" w:cs="Times New Roman" w:eastAsia="Times New Roman" w:hAnsi="Times New Roman"/>
          <w:sz w:val="24"/>
          <w:szCs w:val="24"/>
        </w:rPr>
        <w:t xml:space="preserve">Then-Judge Sotomayor wrote that sentence in a Fourth Amendment search-warrant case, addressing whether a defendant's collection of child pornography supplied probable cause to believe he had also committed a hands-on offense. It is not SORA authority, and this memorandum does not cite it as any. But the fallacy it names is the same fallacy embedded in any argument that treats Respondent's December 2017 reoffense as evidence he is progressing toward contact offending: the fact that some offenders who view child pornography go on to commit hands-on offenses does not mean that an offender who has gone on viewing child pornography has thereby moved closer to committing one.</w:t>
      </w:r>
    </w:p>
    <w:p>
      <w:pPr>
        <w:spacing w:line="480" w:lineRule="auto"/>
        <w:ind w:firstLine="720"/>
        <w:jc w:val="both"/>
      </w:pPr>
      <w:r>
        <w:rPr>
          <w:rFonts w:ascii="Times New Roman" w:cs="Times New Roman" w:eastAsia="Times New Roman" w:hAnsi="Times New Roman"/>
          <w:sz w:val="24"/>
          <w:szCs w:val="24"/>
        </w:rPr>
        <w:t xml:space="preserve">Respondent's own words describe what actually happened. In a 2010 interview preceding the 2012 conviction, Respondent admitted he "could not help what he was doing," that he viewed the material to masturbate, and that if he did not have images to view he "might be tempted" to seek contact with a child. Case Summary (Ex. A) at 2. Read honestly, those words describe compulsion, not ambition — the language of an addiction, not a plan. The instant offense fits the same description: Respondent, on active supervision and in active treatment, downloaded and viewed images again. He did not seek out a child. He did not attempt contact. He returned to the same category of conduct he had already been convicted of, disclosed, and treated for once before.</w:t>
      </w:r>
    </w:p>
    <w:p>
      <w:pPr>
        <w:spacing w:line="480" w:lineRule="auto"/>
        <w:ind w:firstLine="720"/>
        <w:jc w:val="both"/>
      </w:pPr>
      <w:r>
        <w:rPr>
          <w:rFonts w:ascii="Times New Roman" w:cs="Times New Roman" w:eastAsia="Times New Roman" w:hAnsi="Times New Roman"/>
          <w:sz w:val="24"/>
          <w:szCs w:val="24"/>
        </w:rPr>
        <w:t xml:space="preserve">That is what a relapse is, and the distinction is not a semantic one. A relapse returns an offender to conduct he has already engaged in. An escalation carries him toward conduct he has not. Respondent's record, across two convictions and one additional round of disclosed treatment history, contains exactly one category of conduct: image-based offending. It does not contain a second, more dangerous one that the reoffense moved him toward. The Court of Appeals has already said the science will not support treating the first as proof of the second: "the relationship between an offender's child pornography offenses and the likelihood he or she will commit hands-on offenses is uncertain due to the continuing development of scientific research." Gillotti, 23 N.Y.3d at 859. The Gillotti record itself supplies a number for that uncertainty. In recounting the expert testimony before the trial court, the Court of Appeals noted that "a recent study had indicated that child pornography users who do not commit 'hands-on' offenses have only a 4% rate of committing such hands-on offenses in the future, which was 'considerably lower' than the rate for other types of offenders." Gillotti, 23 N.Y.3d at 843-46 [pincite to be confirmed]. Respondent's reoffense is exactly the kind of fact this 4% figure already accounts for. It says nothing about whether he belongs to the much smaller class the figure describes.</w:t>
      </w:r>
    </w:p>
    <w:p>
      <w:pPr>
        <w:spacing w:line="480" w:lineRule="auto"/>
        <w:ind w:firstLine="720"/>
        <w:jc w:val="both"/>
      </w:pPr>
      <w:r>
        <w:rPr>
          <w:rFonts w:ascii="Times New Roman" w:cs="Times New Roman" w:eastAsia="Times New Roman" w:hAnsi="Times New Roman"/>
          <w:sz w:val="24"/>
          <w:szCs w:val="24"/>
        </w:rPr>
        <w:t xml:space="preserve">The Board's own published guidance on child-pornography scoring confirms what it actually looks for when it wants to argue that an offender is escalating, rather than relapsing. The Board's Position Statement of June 1, 2012 — the same document the Case Summary cites for a proposition it does not contain, see supra Statement of Facts — identifies the markers the Board treats as evidence of increasing danger within this offender population: the volume of material collected, the length of time spent collecting it, "paid subscriptions to access child pornography," "categorized/organized material in their child pornography collection," and an increasingly severe "nature of images." Board Position Statement (June 1, 2012). None of those markers appears in the record of the instant offense. The Case Summary does not allege a paid subscription. It does not allege an organized or categorized collection. It does not allege that the images recovered in December 2017 were more severe than what Respondent had already been convicted of downloading in 2012. What it alleges is a return to viewing — the same conduct, not a worse one. This memorandum has already conceded, and does not walk back, that other facts in this record are genuinely aggravating. See supra Point I.D. But escalation toward contact offending is not among them, and the Board's own list of what it looks for when that danger is actually present is the clearest evidence of that gap.</w:t>
      </w:r>
    </w:p>
    <w:p>
      <w:pPr>
        <w:spacing w:line="480" w:lineRule="auto"/>
        <w:ind w:firstLine="720"/>
        <w:jc w:val="both"/>
      </w:pPr>
      <w:r>
        <w:rPr>
          <w:rFonts w:ascii="Times New Roman" w:cs="Times New Roman" w:eastAsia="Times New Roman" w:hAnsi="Times New Roman"/>
          <w:sz w:val="24"/>
          <w:szCs w:val="24"/>
        </w:rPr>
        <w:t xml:space="preserve">This does not ask the Court to disregard Respondent's history of image-based reoffense, or to minimize what that history means for the departure analysis generally. It asks the Court to classify what that history actually shows: a documented, admitted struggle with compulsive viewing that recurred once, under supervision, in exactly the same form it had taken before — not a trajectory toward the harm SORA's Level Three classification exists to warn the public about.</w:t>
      </w:r>
    </w:p>
    <w:p>
      <w:pPr>
        <w:spacing w:after="160" w:before="320" w:line="240" w:lineRule="auto"/>
        <w:ind w:firstLine="0"/>
        <w:jc w:val="left"/>
      </w:pPr>
      <w:r>
        <w:rPr>
          <w:rFonts w:ascii="Times New Roman" w:cs="Times New Roman" w:eastAsia="Times New Roman" w:hAnsi="Times New Roman"/>
          <w:b/>
          <w:bCs/>
          <w:sz w:val="24"/>
          <w:szCs w:val="24"/>
        </w:rPr>
        <w:t xml:space="preserve">F. Conclusion as to Point I</w:t>
      </w:r>
    </w:p>
    <w:p>
      <w:pPr>
        <w:spacing w:line="480" w:lineRule="auto"/>
        <w:ind w:firstLine="720"/>
        <w:jc w:val="both"/>
      </w:pPr>
      <w:r>
        <w:rPr>
          <w:rFonts w:ascii="Times New Roman" w:cs="Times New Roman" w:eastAsia="Times New Roman" w:hAnsi="Times New Roman"/>
          <w:sz w:val="24"/>
          <w:szCs w:val="24"/>
        </w:rPr>
        <w:t xml:space="preserve">Respondent's raw score places him in the RAI's own "Level 1" band. His override-triggering prior conviction and his instant offense are both image-based, with no contact-offense conduct charged or convicted in either. His own risk instrument scores zero on every factor measuring contact risk. The Court of Appeals has directed SORA courts to give "particularly strong consideration" to precisely this over-classification risk for child-pornography offenders, and the Fourth Department has granted departures on that reasoning after Gillotti. No adverse override case in this body of authority presents an offender whose triggering conviction is itself digital-only. And the one fact in this record that comes closest to cutting the other way — the December 2017 reoffense — is, on Gillotti's own terms and on this record's own facts, a relapse into the same conduct Respondent has already been convicted of and treated for once before, not a step toward the conduct SORA's highest risk tier exists to warn the public about. Respondent has carried his burden by a preponderance of the evidence, and the totality of the circumstances — properly weighed, including the record's genuine aggravating facts — warrants a downward departure to Risk Level Two.</w:t>
      </w:r>
    </w:p>
    <w:p>
      <w:pPr>
        <w:spacing w:after="200" w:before="360" w:line="240" w:lineRule="auto"/>
        <w:ind w:firstLine="0"/>
        <w:jc w:val="left"/>
      </w:pPr>
      <w:r>
        <w:rPr>
          <w:rFonts w:ascii="Times New Roman" w:cs="Times New Roman" w:eastAsia="Times New Roman" w:hAnsi="Times New Roman"/>
          <w:b/>
          <w:bCs/>
          <w:sz w:val="24"/>
          <w:szCs w:val="24"/>
        </w:rPr>
        <w:t xml:space="preserve">POINT II: THE BOARD'S CASE SUMMARY RESTS ON A FEDERAL PRESENTENCE REPORT FILTERED THROUGH TWO ADDITIONAL LAYERS OF PARAPHRASE, AND MINGO'S FOUNDATION-FREE RULE FOR NEW YORK CASE SUMMARIES DOES NOT REACH THAT STRUCTURE</w:t>
      </w:r>
    </w:p>
    <w:p>
      <w:pPr>
        <w:spacing w:line="480" w:lineRule="auto"/>
        <w:ind w:firstLine="720"/>
        <w:jc w:val="both"/>
      </w:pPr>
      <w:r>
        <w:rPr>
          <w:rFonts w:ascii="Times New Roman" w:cs="Times New Roman" w:eastAsia="Times New Roman" w:hAnsi="Times New Roman"/>
          <w:sz w:val="24"/>
          <w:szCs w:val="24"/>
        </w:rPr>
        <w:t xml:space="preserve">Respondent's departure argument in Point I does not depend on discounting the Board's factual account. But the Court should not have to accept that account uncritically either, and there is a real, and so far untested, reason it should not: the document the Board actually relies on for nearly every fact in this record is not the kind of document Correction Law § 168-n(3) and People v. Mingo, 12 N.Y.3d 563 (2009), were built to admit without question.</w:t>
      </w:r>
    </w:p>
    <w:p>
      <w:pPr>
        <w:spacing w:after="160" w:before="320" w:line="240" w:lineRule="auto"/>
        <w:ind w:firstLine="0"/>
        <w:jc w:val="left"/>
      </w:pPr>
      <w:r>
        <w:rPr>
          <w:rFonts w:ascii="Times New Roman" w:cs="Times New Roman" w:eastAsia="Times New Roman" w:hAnsi="Times New Roman"/>
          <w:b/>
          <w:bCs/>
          <w:sz w:val="24"/>
          <w:szCs w:val="24"/>
        </w:rPr>
        <w:t xml:space="preserve">A. Mingo's Rule, Honestly Stated: The General Presumption Runs Against This Argument as It Would Ordinarily Be Framed</w:t>
      </w:r>
    </w:p>
    <w:p>
      <w:pPr>
        <w:spacing w:line="480" w:lineRule="auto"/>
        <w:ind w:firstLine="720"/>
        <w:jc w:val="both"/>
      </w:pPr>
      <w:r>
        <w:rPr>
          <w:rFonts w:ascii="Times New Roman" w:cs="Times New Roman" w:eastAsia="Times New Roman" w:hAnsi="Times New Roman"/>
          <w:sz w:val="24"/>
          <w:szCs w:val="24"/>
        </w:rPr>
        <w:t xml:space="preserve">Correction Law § 168-n(3) permits a SORA court to "consider reliable hearsay evidence submitted by either party, provided that it is relevant to the determinations." Hearsay is reliable for SORA purposes, and therefore admissible, "if, based on the circumstances surrounding the development of the proof, a reasonable person would deem it trustworthy." Mingo, 12 N.Y.3d 563 (2009). Mingo applied that standard to reverse a classification built on internal District Attorney's office forms offered with no showing of how the forms were prepared, by whom, or from what sources. But Mingo separately addressed case summaries and presentence reports as their own, categorically different class: "No foundation is necessary for their consideration at SORA hearings because such documents are created under statutory mandates and their origins and function are well-known to SORA courts." Id. at 573-74. The Third Department applied that same rule as recently as 2023, holding that an indictment and a presentence report describing a child-pornography offender's conduct were "reliable hearsay that has been found to constitute clear and convincing evidence supporting a risk level classification." People v. Adams, 216 A.D.3d 1376 (3d Dep't 2023) (quoting People v. Conrad, 193 A.D.3d 1187, 1188 [3d Dep't 2021]), citing Mingo, 12 N.Y.3d at 573-74. If the document before this Court were simply "a presentence report," or simply a case summary of one, that would likely be the end of the inquiry. It is not the end of the inquiry, because it is not simply either.</w:t>
      </w:r>
    </w:p>
    <w:p>
      <w:pPr>
        <w:spacing w:after="160" w:before="320" w:line="240" w:lineRule="auto"/>
        <w:ind w:firstLine="0"/>
        <w:jc w:val="left"/>
      </w:pPr>
      <w:r>
        <w:rPr>
          <w:rFonts w:ascii="Times New Roman" w:cs="Times New Roman" w:eastAsia="Times New Roman" w:hAnsi="Times New Roman"/>
          <w:b/>
          <w:bCs/>
          <w:sz w:val="24"/>
          <w:szCs w:val="24"/>
        </w:rPr>
        <w:t xml:space="preserve">B. Mingo's Foundation Waiver Is Built on Familiarity With How a New York PSR Is Made — Not With How a Federal One Is</w:t>
      </w:r>
    </w:p>
    <w:p>
      <w:pPr>
        <w:spacing w:line="480" w:lineRule="auto"/>
        <w:ind w:firstLine="720"/>
        <w:jc w:val="both"/>
      </w:pPr>
      <w:r>
        <w:rPr>
          <w:rFonts w:ascii="Times New Roman" w:cs="Times New Roman" w:eastAsia="Times New Roman" w:hAnsi="Times New Roman"/>
          <w:sz w:val="24"/>
          <w:szCs w:val="24"/>
        </w:rPr>
        <w:t xml:space="preserve">Mingo's rationale for dispensing with foundation is not free-floating. It rests on a specific fact about New York SORA practice: that the documents in question are "created under statutory mandates" whose "origins and function are well-known to SORA courts." Mingo, 12 N.Y.3d at 573-74. A New York presentence report is prepared under Criminal Procedure Law § 390 by New York probation officers, for New York sentencing courts, following procedures a Monroe County SORA court sees applied in case after case. That routine, repeated familiarity is what lets a court dispense with foundation testimony it would otherwise require.</w:t>
      </w:r>
    </w:p>
    <w:p>
      <w:pPr>
        <w:spacing w:line="480" w:lineRule="auto"/>
        <w:ind w:firstLine="720"/>
        <w:jc w:val="both"/>
      </w:pPr>
      <w:r>
        <w:rPr>
          <w:rFonts w:ascii="Times New Roman" w:cs="Times New Roman" w:eastAsia="Times New Roman" w:hAnsi="Times New Roman"/>
          <w:sz w:val="24"/>
          <w:szCs w:val="24"/>
        </w:rPr>
        <w:t xml:space="preserve">Nothing about that familiarity exists here. The document underlying the Board's Case Summary is a federal presentence report, prepared by federal probation officers under Federal Rule of Criminal Procedure 32 and 18 U.S.C. § 3552, following United States Sentencing Guidelines conventions this Court does not administer in the ordinary course of SORA practice and has no occasion to evaluate for reliability the way it evaluates a CPL 390 report. A federal PSR is not a New York PSR wearing a different letterhead. It is built by a different agency, under a different statute, to different specifications, for a different court's sentencing purposes — purposes that have nothing to do with SORA classification and were not designed with SORA classification in mind. Mingo's foundation waiver is a waiver earned by familiarity. This Court has no comparable familiarity with how a federal PSR is assembled, and no case has held that Mingo's waiver travels across that line.</w:t>
      </w:r>
    </w:p>
    <w:p>
      <w:pPr>
        <w:spacing w:after="160" w:before="320" w:line="240" w:lineRule="auto"/>
        <w:ind w:firstLine="0"/>
        <w:jc w:val="left"/>
      </w:pPr>
      <w:r>
        <w:rPr>
          <w:rFonts w:ascii="Times New Roman" w:cs="Times New Roman" w:eastAsia="Times New Roman" w:hAnsi="Times New Roman"/>
          <w:b/>
          <w:bCs/>
          <w:sz w:val="24"/>
          <w:szCs w:val="24"/>
        </w:rPr>
        <w:t xml:space="preserve">C. What Actually Reaches This Court Is a Third Layer of Paraphrase, Not the Report Itself</w:t>
      </w:r>
    </w:p>
    <w:p>
      <w:pPr>
        <w:spacing w:line="480" w:lineRule="auto"/>
        <w:ind w:firstLine="720"/>
        <w:jc w:val="both"/>
      </w:pPr>
      <w:r>
        <w:rPr>
          <w:rFonts w:ascii="Times New Roman" w:cs="Times New Roman" w:eastAsia="Times New Roman" w:hAnsi="Times New Roman"/>
          <w:sz w:val="24"/>
          <w:szCs w:val="24"/>
        </w:rPr>
        <w:t xml:space="preserve">Even setting the federal/state distinction aside, the document actually before this Court is not the presentence report at all. It is the Board's own Case Summary — the Board's characterization of what its own examiner understood a federal probation officer to have written, itself already a probation officer's summary of a police report rather than a verbatim transcript of anything. Police report to probation officer's summary to the Board's own further paraphrase: that is three layers of characterization standing between this Court and the original source, and the compounding matters. Each layer is an opportunity for something to be lost, simplified, or restated in a way its author did not intend, and nothing in this record allows the Court to check any layer against the one beneath it.</w:t>
      </w:r>
    </w:p>
    <w:p>
      <w:pPr>
        <w:spacing w:line="480" w:lineRule="auto"/>
        <w:ind w:firstLine="720"/>
        <w:jc w:val="both"/>
      </w:pPr>
      <w:r>
        <w:rPr>
          <w:rFonts w:ascii="Times New Roman" w:cs="Times New Roman" w:eastAsia="Times New Roman" w:hAnsi="Times New Roman"/>
          <w:sz w:val="24"/>
          <w:szCs w:val="24"/>
        </w:rPr>
        <w:t xml:space="preserve">This is not a hypothetical concern about this particular Case Summary; the document itself confirms it. Nowhere in its four pages does the Board cite a specific page of either presentence report for any fact it recites — not the image counts, not the admissions, not the characterization of Respondent as undeterred by "prior detection, sanction and treatment." See supra Statement of Facts. A reader of the Case Summary has no way to trace a single sentence in it back to a specific page of anything. That omission is not technical — it is exactly the kind of foundation gap that proved fatal to reliability in Mingo's own DA-forms holding, where the absence of any showing of how a document was prepared, by whom, and from what sources doomed the document's admissibility, and the Board has made no comparable showing here.</w:t>
      </w:r>
    </w:p>
    <w:p>
      <w:pPr>
        <w:spacing w:after="160" w:before="320" w:line="240" w:lineRule="auto"/>
        <w:ind w:firstLine="0"/>
        <w:jc w:val="left"/>
      </w:pPr>
      <w:r>
        <w:rPr>
          <w:rFonts w:ascii="Times New Roman" w:cs="Times New Roman" w:eastAsia="Times New Roman" w:hAnsi="Times New Roman"/>
          <w:b/>
          <w:bCs/>
          <w:sz w:val="24"/>
          <w:szCs w:val="24"/>
        </w:rPr>
        <w:t xml:space="preserve">D. The Board's Most Consequential Conclusions Are Exactly the Kind of Narrative This Structure Produces</w:t>
      </w:r>
    </w:p>
    <w:p>
      <w:pPr>
        <w:spacing w:line="480" w:lineRule="auto"/>
        <w:ind w:firstLine="720"/>
        <w:jc w:val="both"/>
      </w:pPr>
      <w:r>
        <w:rPr>
          <w:rFonts w:ascii="Times New Roman" w:cs="Times New Roman" w:eastAsia="Times New Roman" w:hAnsi="Times New Roman"/>
          <w:sz w:val="24"/>
          <w:szCs w:val="24"/>
        </w:rPr>
        <w:t xml:space="preserve">The two sentences doing the most work in the Board's recommendation are not quotations from the presentence report at all. They are the Board's own conclusions, layered on top of everything described above: the prior conviction supplies "compelling evidence that he poses a serious risk to public safety that is not captured by scoring alone," and "prior detection, sanction and treatment have not deterred his conduct." Case Summary (Ex. A) at 3. Neither sentence is attributed to the presentence report, to a probation officer's finding, or to any source at all beyond the Board's own narrative voice. That is precisely the risk Mingo's foundation requirement exists to guard against: a conclusion presented with the authority of an official document, but resting, when traced back, on nothing the Court can verify.</w:t>
      </w:r>
    </w:p>
    <w:p>
      <w:pPr>
        <w:spacing w:after="160" w:before="320" w:line="240" w:lineRule="auto"/>
        <w:ind w:firstLine="0"/>
        <w:jc w:val="left"/>
      </w:pPr>
      <w:r>
        <w:rPr>
          <w:rFonts w:ascii="Times New Roman" w:cs="Times New Roman" w:eastAsia="Times New Roman" w:hAnsi="Times New Roman"/>
          <w:b/>
          <w:bCs/>
          <w:sz w:val="24"/>
          <w:szCs w:val="24"/>
        </w:rPr>
        <w:t xml:space="preserve">E. Conclusion as to Point II</w:t>
      </w:r>
    </w:p>
    <w:p>
      <w:pPr>
        <w:spacing w:line="480" w:lineRule="auto"/>
        <w:ind w:firstLine="720"/>
        <w:jc w:val="both"/>
      </w:pPr>
      <w:r>
        <w:rPr>
          <w:rFonts w:ascii="Times New Roman" w:cs="Times New Roman" w:eastAsia="Times New Roman" w:hAnsi="Times New Roman"/>
          <w:sz w:val="24"/>
          <w:szCs w:val="24"/>
        </w:rPr>
        <w:t xml:space="preserve">This is not a claim that the Case Summary should be excluded, or that Respondent's admissions and conduct are somehow disputed; Respondent has not disputed the underlying facts anywhere in this memorandum. It is a claim that the Board's own narrative characterizations of those facts — the "compelling evidence" language and the "not deterred" conclusion the Board leans on hardest — are built on a document structurally different from the kind Mingo excused from foundation, and are owed correspondingly less weight when this Court decides how much independent force they carry in the departure analysis under Point I and the override analysis under Point III. No case has extended Mingo's rationale to a federal presentence report filtered through a state Board's own further paraphrase. No case has refused to extend it either. Respondent asks this Court to recognize the distinction Mingo itself supplies the tools to draw, rather than assume a foundation waiver built for one kind of document travels automatically to a different one.</w:t>
      </w:r>
    </w:p>
    <w:p>
      <w:pPr>
        <w:spacing w:after="200" w:before="360" w:line="240" w:lineRule="auto"/>
        <w:ind w:firstLine="0"/>
        <w:jc w:val="left"/>
      </w:pPr>
      <w:r>
        <w:rPr>
          <w:rFonts w:ascii="Times New Roman" w:cs="Times New Roman" w:eastAsia="Times New Roman" w:hAnsi="Times New Roman"/>
          <w:b/>
          <w:bCs/>
          <w:sz w:val="24"/>
          <w:szCs w:val="24"/>
        </w:rPr>
        <w:t xml:space="preserve">POINT III: IN THE ALTERNATIVE, OVERRIDE 1 CANNOT LAWFULLY SUBSTITUTE FOR THE INDIVIDUALIZED "THREAT TO PUBLIC SAFETY" FINDING THAT CORRECTION LAW § 168-l(6) SEPARATELY REQUIRES</w:t>
      </w:r>
    </w:p>
    <w:p>
      <w:pPr>
        <w:spacing w:line="480" w:lineRule="auto"/>
        <w:ind w:firstLine="720"/>
        <w:jc w:val="both"/>
      </w:pPr>
      <w:r>
        <w:rPr>
          <w:rFonts w:ascii="Times New Roman" w:cs="Times New Roman" w:eastAsia="Times New Roman" w:hAnsi="Times New Roman"/>
          <w:sz w:val="24"/>
          <w:szCs w:val="24"/>
        </w:rPr>
        <w:t xml:space="preserve">Should this Court conclude that neither Point I nor Point II itself warrants departure, Respondent presents a third and independent ground for the same relief: Override 1, standing alone, cannot lawfully produce a Level Three classification, because the statute the Guidelines implement requires two separate findings that the override collapses into one.</w:t>
      </w:r>
    </w:p>
    <w:p>
      <w:pPr>
        <w:spacing w:after="160" w:before="320" w:line="240" w:lineRule="auto"/>
        <w:ind w:firstLine="0"/>
        <w:jc w:val="left"/>
      </w:pPr>
      <w:r>
        <w:rPr>
          <w:rFonts w:ascii="Times New Roman" w:cs="Times New Roman" w:eastAsia="Times New Roman" w:hAnsi="Times New Roman"/>
          <w:b/>
          <w:bCs/>
          <w:sz w:val="24"/>
          <w:szCs w:val="24"/>
        </w:rPr>
        <w:t xml:space="preserve">A. The Statute Is Conjunctive, and Override 1 Answers Only Half of It</w:t>
      </w:r>
    </w:p>
    <w:p>
      <w:pPr>
        <w:spacing w:line="480" w:lineRule="auto"/>
        <w:ind w:firstLine="720"/>
        <w:jc w:val="both"/>
      </w:pPr>
      <w:r>
        <w:rPr>
          <w:rFonts w:ascii="Times New Roman" w:cs="Times New Roman" w:eastAsia="Times New Roman" w:hAnsi="Times New Roman"/>
          <w:sz w:val="24"/>
          <w:szCs w:val="24"/>
        </w:rPr>
        <w:t xml:space="preserve">Correction Law § 168-l(6) provides that a Level Three designation is authorized only "if the risk of repeat offense is high and there exists a threat to the public safety." The Legislature's own delegation to the Board tracks that same two-part structure: § 168-l(5) directs the Board to "develop guidelines and procedures to assess the risk of a repeat offense by such sex offender and the threat posed to the public safety" — two distinct assessments, joined by "and," not one assessment described twice.</w:t>
      </w:r>
    </w:p>
    <w:p>
      <w:pPr>
        <w:spacing w:line="480" w:lineRule="auto"/>
        <w:ind w:firstLine="720"/>
        <w:jc w:val="both"/>
      </w:pPr>
      <w:r>
        <w:rPr>
          <w:rFonts w:ascii="Times New Roman" w:cs="Times New Roman" w:eastAsia="Times New Roman" w:hAnsi="Times New Roman"/>
          <w:sz w:val="24"/>
          <w:szCs w:val="24"/>
        </w:rPr>
        <w:t xml:space="preserve">Override 1 is not statutory text. It is Guidelines language, reading: "[t]he offender has a prior felony conviction for a sex crime." Moss, 43 N.Y.3d at 586 (quoting Guidelines, override 1). On its face, that inquiry asks only whether a qualifying conviction exists — a question about the fact of recidivism, not an individualized finding about whether this offender currently presents a threat to public safety. The Board's own Case Summary confirms that the override is doing exactly the work Respondent describes: it states that the prior conviction "automatically results in a presumptive Risk Level III, as this provides compelling evidence that he poses a serious risk to public safety that is not captured by scoring alone." Case Summary (Ex. A) at 3. That sentence is the clearest evidence in this record that the Board itself treats the bare, categorical fact of a prior conviction as self-executing proof of the public-safety element — not as one input into an individualized finding on it, and, as Point II above shows, not even a sentence the Board has tied to a specific page of the document it claims to be summarizing.</w:t>
      </w:r>
    </w:p>
    <w:p>
      <w:pPr>
        <w:spacing w:line="480" w:lineRule="auto"/>
        <w:ind w:firstLine="720"/>
        <w:jc w:val="both"/>
      </w:pPr>
      <w:r>
        <w:rPr>
          <w:rFonts w:ascii="Times New Roman" w:cs="Times New Roman" w:eastAsia="Times New Roman" w:hAnsi="Times New Roman"/>
          <w:sz w:val="24"/>
          <w:szCs w:val="24"/>
        </w:rPr>
        <w:t xml:space="preserve">This Court should not expect to find a case squarely deciding this distinction, because none exists. Every override case reviewed in preparing this application — including Gunter and Moss — treats the applicability of a particular override as a single, unitary question resolved once the People prove the predicate conviction by clear and convincing evidence, with no separate discussion of the repeat-offense and public-safety clauses as independent requirements. See Gunter, 217 A.D.3d at 789 ("The People bear the burden of proving the applicability of a particular override by clear and convincing evidence," and once that burden is met, "a SORA court is not possessed of any discretion in determining whether to apply [an] override; the application of the override is automatic") (quoting People v. Lobello, 123 A.D.3d 993, 994 [2d Dep't 2014], and People v. Johnson, 135 A.D.3d 720, 720-21 [2d Dep't 2016]); Moss, 43 N.Y.3d at 590. That absence is not a weakness in this argument. It means no defendant has yet asked a New York court to confront the gap between what § 168-l(6) requires and what Override 1 actually finds. Respondent asks this Court to be the first to do so, not because the argument is untested, but because it has never had occasion to be tested — the Board has never before had to defend the conflation against a defendant whose entire record, on both convictions, consists of conduct with no contact element at all.</w:t>
      </w:r>
    </w:p>
    <w:p>
      <w:pPr>
        <w:spacing w:after="160" w:before="320" w:line="240" w:lineRule="auto"/>
        <w:ind w:firstLine="0"/>
        <w:jc w:val="left"/>
      </w:pPr>
      <w:r>
        <w:rPr>
          <w:rFonts w:ascii="Times New Roman" w:cs="Times New Roman" w:eastAsia="Times New Roman" w:hAnsi="Times New Roman"/>
          <w:b/>
          <w:bCs/>
          <w:sz w:val="24"/>
          <w:szCs w:val="24"/>
        </w:rPr>
        <w:t xml:space="preserve">B. The Override Mechanism Is Vulnerable Under Boreali's Own Framework — on the Factors That Actually Apply Here</w:t>
      </w:r>
    </w:p>
    <w:p>
      <w:pPr>
        <w:spacing w:line="480" w:lineRule="auto"/>
        <w:ind w:firstLine="720"/>
        <w:jc w:val="both"/>
      </w:pPr>
      <w:r>
        <w:rPr>
          <w:rFonts w:ascii="Times New Roman" w:cs="Times New Roman" w:eastAsia="Times New Roman" w:hAnsi="Times New Roman"/>
          <w:sz w:val="24"/>
          <w:szCs w:val="24"/>
        </w:rPr>
        <w:t xml:space="preserve">In Boreali v. Axelrod, 71 N.Y.2d 1 (1987), the Court of Appeals held that an administrative agency exceeds its delegated authority when a combination of circumstances shows it has crossed from filling in legislative detail into making free-standing policy the Legislature never authorized. The Court identified four such circumstances, cautioning that "none of these circumstances, standing alone, is sufficient to warrant the conclusion" that an agency has exceeded its authority, but that the circumstances, "when viewed in combination, paint a portrait of an agency that has improperly assumed for itself" a legislative role. Id. at 11-12. Respondent does not overstate that combination here: of the four factors, two apply to Override 1 with real force, and two do not apply on this record at all. Both should be said plainly, because a court asked to credit an argument it can verify as candidly stated is more likely to credit the part of it that is genuinely strong.</w:t>
      </w:r>
    </w:p>
    <w:p>
      <w:pPr>
        <w:spacing w:line="480" w:lineRule="auto"/>
        <w:ind w:firstLine="720"/>
        <w:jc w:val="both"/>
      </w:pPr>
      <w:r>
        <w:rPr>
          <w:rFonts w:ascii="Times New Roman" w:cs="Times New Roman" w:eastAsia="Times New Roman" w:hAnsi="Times New Roman"/>
          <w:sz w:val="24"/>
          <w:szCs w:val="24"/>
        </w:rPr>
        <w:t xml:space="preserve">*The factors that support this argument.* First, Boreali asked whether the agency "wrote on a clean slate" rather than merely filling in the details of a broader legislative scheme. Id. at 13. Override 1 does not fill in interstitial detail on how to find a threat to public safety — it replaces that finding entirely with a single categorical fact, leaving the SORA court, once the conviction is shown, "not possessed of any discretion" at all. Gunter, 217 A.D.3d at 789. Nothing in § 168-l(5)'s text or its enumerated factors instructs the Board that a prior conviction should be treated as conclusively establishing current dangerousness regardless of its age, its nature, or what has happened since. That is closer to writing a new rule than interpreting an existing one. Second, Boreali asked whether the agency exercised any special expertise or technical competence in adopting the regulation. 71 N.Y.2d at 14. Override 1 applies no clinical or actuarial judgment whatsoever; it is a records check for a qualifying conviction. That stands in real contrast to the RAI's individually scored factors, which at least purport to embody the Board's forensic-risk-assessment expertise, and to Override 4 — the Board's own clinical-mental-abnormality override — which does require an actual clinical finding. An instrument that asks only whether a conviction exists is not an exercise of technical competence in the sense Boreali requires.</w:t>
      </w:r>
    </w:p>
    <w:p>
      <w:pPr>
        <w:spacing w:line="480" w:lineRule="auto"/>
        <w:ind w:firstLine="720"/>
        <w:jc w:val="both"/>
      </w:pPr>
      <w:r>
        <w:rPr>
          <w:rFonts w:ascii="Times New Roman" w:cs="Times New Roman" w:eastAsia="Times New Roman" w:hAnsi="Times New Roman"/>
          <w:sz w:val="24"/>
          <w:szCs w:val="24"/>
        </w:rPr>
        <w:t xml:space="preserve">*The factors that do not support this argument, stated with equal candor.* Boreali's fact-specific inquiry into whether the agency there had engaged in an unguided balancing of competing concerns rested on the finding that it had "not been given any legislative guidelines at all for determining how the competing concerns of public health and economic cost are to be weighed." Id. at 12-13. Nothing in the record here shows the Board weighing competing economic or social interests in adopting Override 1; it reads as a straightforward risk-weighting judgment, not a cost-benefit tradeoff between incommensurable values, and this memorandum does not contend otherwise. Boreali's finding of legislative stalemate rested on more than forty failed bills over a decade of public debate that the agency then resolved on its own. Id. at 7, 13-14. No comparable legislative history has been located showing the Legislature considered and rejected codifying an automatic override, and Respondent does not ask this Court to assume one exists. Of Boreali's four factors, two are present and two are not — a materially thinner Boreali record than Boreali itself presented. That does not make the argument frivolous; the "clean slate" factor in particular maps onto Override 1's structure unusually well, because the override does not merely interpret an ambiguous statutory term, it dispenses with an entire statutory element's individualized-finding requirement. It does mean this Court should weigh the argument for what the record actually shows, not for more than that.</w:t>
      </w:r>
    </w:p>
    <w:p>
      <w:pPr>
        <w:spacing w:line="480" w:lineRule="auto"/>
        <w:ind w:firstLine="720"/>
        <w:jc w:val="both"/>
      </w:pPr>
      <w:r>
        <w:rPr>
          <w:rFonts w:ascii="Times New Roman" w:cs="Times New Roman" w:eastAsia="Times New Roman" w:hAnsi="Times New Roman"/>
          <w:sz w:val="24"/>
          <w:szCs w:val="24"/>
        </w:rPr>
        <w:t xml:space="preserve">This Court should also expect the Board to invoke the deference the Court of Appeals has extended to the Guidelines generally, including in Moss itself, which affords "careful consideration to the Board's interpretations of th[e] Guidelines, recognizing the Board's legislative mandate to promulgate them and the Board's subject matter expertise." 43 N.Y.3d at 588 (quoting People v. Cook, 29 N.Y.3d 121, 129 [2017]). That deference is real, and it is also not unlimited: deference to an agency's interpretation of its own guidelines is not the same as deference to a guideline that eliminates, rather than interprets, an element the Legislature itself wrote into the statute. The Court of Appeals has used the override mechanism repeatedly without ever being asked to test its validity against this specific argument; that institutional history counsels caution, not silence, and Respondent raises this ground to preserve it fully, whatever this Court concludes.</w:t>
      </w:r>
    </w:p>
    <w:p>
      <w:pPr>
        <w:spacing w:after="160" w:before="320" w:line="240" w:lineRule="auto"/>
        <w:ind w:firstLine="0"/>
        <w:jc w:val="left"/>
      </w:pPr>
      <w:r>
        <w:rPr>
          <w:rFonts w:ascii="Times New Roman" w:cs="Times New Roman" w:eastAsia="Times New Roman" w:hAnsi="Times New Roman"/>
          <w:b/>
          <w:bCs/>
          <w:sz w:val="24"/>
          <w:szCs w:val="24"/>
        </w:rPr>
        <w:t xml:space="preserve">C. New York's Closest Analogous Dangerousness Proceeding Confirms That a Bare Conviction Cannot Carry a Clear-and-Convincing Public-Safety Finding</w:t>
      </w:r>
    </w:p>
    <w:p>
      <w:pPr>
        <w:spacing w:line="480" w:lineRule="auto"/>
        <w:ind w:firstLine="720"/>
        <w:jc w:val="both"/>
      </w:pPr>
      <w:r>
        <w:rPr>
          <w:rFonts w:ascii="Times New Roman" w:cs="Times New Roman" w:eastAsia="Times New Roman" w:hAnsi="Times New Roman"/>
          <w:sz w:val="24"/>
          <w:szCs w:val="24"/>
        </w:rPr>
        <w:t xml:space="preserve">The proceeding structurally closest to what § 168-l(6)'s "threat to public safety" finding is actually supposed to represent is not SORA itself — it is civil management under Mental Hygiene Law Article 10, which asks the same underlying question: does this specific person's psychology and history make him currently dangerous. Article 10 answers that question only through a diagnosed clinical condition, established by a psychiatric examiner's report, Mental Hygiene Law § 10.05(g), and the Legislature wrote directly into the statute that a bare prior conviction is not enough: "the jury may not find solely on the basis of the respondent's commission of a sex offense that the respondent is a detained sex offender who suffers from a mental abnormality." Mental Hygiene Law § 10.07(d).</w:t>
      </w:r>
    </w:p>
    <w:p>
      <w:pPr>
        <w:spacing w:line="480" w:lineRule="auto"/>
        <w:ind w:firstLine="720"/>
        <w:jc w:val="both"/>
      </w:pPr>
      <w:r>
        <w:rPr>
          <w:rFonts w:ascii="Times New Roman" w:cs="Times New Roman" w:eastAsia="Times New Roman" w:hAnsi="Times New Roman"/>
          <w:sz w:val="24"/>
          <w:szCs w:val="24"/>
        </w:rPr>
        <w:t xml:space="preserve">This is an analogy, not a citation to controlling SORA authority, and this memorandum presents it as exactly that. No SORA case has imported Article 10's evidentiary structure into the override context, and the existing override cases treat the People's clear-and-convincing burden as satisfied by proof of the qualifying conviction alone. The Board and the People may fairly respond that SORA classification and Article 10 civil management are different statutory schemes with different stakes, and that the Legislature knew how to write an Article 10-style clinical-evidence requirement into SORA and did not. That is a fair distinction, and this Court should weigh it. But the analogy still does real work: in the one place New York has actually legislated how to prove current sexual dangerousness by clear and convincing evidence, the Legislature expressly rejected the inference the Board draws here from a bare conviction standing alone. The Board's Case Summary offers no psychiatric examiner's report, no actuarial instrument, and no expert opinion of any kind on Respondent's current risk. It offers a narrative of past convictions and treatment records — a narrative that, as Point II shows, is not tied to a single specific page of anything it purports to summarize — presented as itself "compelling evidence" of a public-safety threat. Case Summary (Ex. A) at 3. Whatever else that showing accomplishes, it does not meet the standard New York's Legislature has set for an individualized dangerousness finding anywhere else in this state's law.</w:t>
      </w:r>
    </w:p>
    <w:p>
      <w:pPr>
        <w:spacing w:after="160" w:before="320" w:line="240" w:lineRule="auto"/>
        <w:ind w:firstLine="0"/>
        <w:jc w:val="left"/>
      </w:pPr>
      <w:r>
        <w:rPr>
          <w:rFonts w:ascii="Times New Roman" w:cs="Times New Roman" w:eastAsia="Times New Roman" w:hAnsi="Times New Roman"/>
          <w:b/>
          <w:bCs/>
          <w:sz w:val="24"/>
          <w:szCs w:val="24"/>
        </w:rPr>
        <w:t xml:space="preserve">D. Respondent's Own 2018 Classification Illustrates the Gap This Argument Identifies — and the Board's Most Likely Response Does Not Close It</w:t>
      </w:r>
    </w:p>
    <w:p>
      <w:pPr>
        <w:spacing w:line="480" w:lineRule="auto"/>
        <w:ind w:firstLine="720"/>
        <w:jc w:val="both"/>
      </w:pPr>
      <w:r>
        <w:rPr>
          <w:rFonts w:ascii="Times New Roman" w:cs="Times New Roman" w:eastAsia="Times New Roman" w:hAnsi="Times New Roman"/>
          <w:sz w:val="24"/>
          <w:szCs w:val="24"/>
        </w:rPr>
        <w:t xml:space="preserve">This same 2012 conduct has already been through one full, adversarial SORA classification. In 2018, the Fourth Department affirmed a Level Two classification of Respondent based on that conduct, reached without any override, through ordinary point scoring. People v. Bernecky, 161 A.D.3d 1540 (4th Dep't 2018). That is the clearest illustration this record can produce of the gap Point III identifies: a court, after full individualized review of the very conduct now driving Override 1, found it supported a moderate — not a high — risk classification. Override 1 does not build on that prior individualized finding. It displaces it with a new categorical one, based on the same conviction, with no fresh finding that anything about Respondent's danger to public safety has changed.</w:t>
      </w:r>
    </w:p>
    <w:p>
      <w:pPr>
        <w:spacing w:line="480" w:lineRule="auto"/>
        <w:ind w:firstLine="720"/>
        <w:jc w:val="both"/>
      </w:pPr>
      <w:r>
        <w:rPr>
          <w:rFonts w:ascii="Times New Roman" w:cs="Times New Roman" w:eastAsia="Times New Roman" w:hAnsi="Times New Roman"/>
          <w:sz w:val="24"/>
          <w:szCs w:val="24"/>
        </w:rPr>
        <w:t xml:space="preserve">The Board's most likely response to this comparison should be named here, not left for reply: the instant offense is a second child-pornography conviction, committed after the 2018 classification, while Respondent was under supervision and in active treatment on the first one. The Board will argue that reoffending after an already-completed classification is itself powerful, individualized evidence that the 2018 assessment underestimated him — and that this evidence, not the override's bare mechanics, is what supports Level Three here.</w:t>
      </w:r>
    </w:p>
    <w:p>
      <w:pPr>
        <w:spacing w:line="480" w:lineRule="auto"/>
        <w:ind w:firstLine="720"/>
        <w:jc w:val="both"/>
      </w:pPr>
      <w:r>
        <w:rPr>
          <w:rFonts w:ascii="Times New Roman" w:cs="Times New Roman" w:eastAsia="Times New Roman" w:hAnsi="Times New Roman"/>
          <w:sz w:val="24"/>
          <w:szCs w:val="24"/>
        </w:rPr>
        <w:t xml:space="preserve">That response has real force, and Respondent does not pretend otherwise, but it answers a different question than the one Point III asks. If the recency and repetition of Respondent's conduct is what now supports a public-safety finding, then that is precisely the kind of case-specific, individualized showing § 168-l(6) requires — and the Board is free to make it. But that is not what Override 1 does, and it is not what the Board's Case Summary actually says: the Case Summary attributes the public-safety conclusion to "the fact that Mr. Bernecky has a prior felony sex crime conviction," full stop, not to any analysis of what has changed since 2018 or of the instant offense's own particulars. Case Summary (Ex. A) at 3. A court could uphold a Level Three classification on a properly developed recency-and-repetition record without ever relying on Override 1's automatic mechanics at all. That is not this record. The Board reached for the override instead of making that individualized case, and Point III asks this Court to hold it to the finding the statute actually requires rather than the categorical substitute the Guidelines supply in its place.</w:t>
      </w:r>
    </w:p>
    <w:p>
      <w:pPr>
        <w:spacing w:after="160" w:before="320" w:line="240" w:lineRule="auto"/>
        <w:ind w:firstLine="0"/>
        <w:jc w:val="left"/>
      </w:pPr>
      <w:r>
        <w:rPr>
          <w:rFonts w:ascii="Times New Roman" w:cs="Times New Roman" w:eastAsia="Times New Roman" w:hAnsi="Times New Roman"/>
          <w:b/>
          <w:bCs/>
          <w:sz w:val="24"/>
          <w:szCs w:val="24"/>
        </w:rPr>
        <w:t xml:space="preserve">E. Conclusion as to Point III</w:t>
      </w:r>
    </w:p>
    <w:p>
      <w:pPr>
        <w:spacing w:line="480" w:lineRule="auto"/>
        <w:ind w:firstLine="720"/>
        <w:jc w:val="both"/>
      </w:pPr>
      <w:r>
        <w:rPr>
          <w:rFonts w:ascii="Times New Roman" w:cs="Times New Roman" w:eastAsia="Times New Roman" w:hAnsi="Times New Roman"/>
          <w:sz w:val="24"/>
          <w:szCs w:val="24"/>
        </w:rPr>
        <w:t xml:space="preserve">Correction Law § 168-l(6) requires two findings. Override 1 makes one. The Board's own Case Summary demonstrates that conflation in its own words, and no New York court has yet been asked to resolve it. The Boreali factors that actually apply to this record — the absence of any interstitial guidance and the absence of any exercised expertise — support treating the override as exceeding what the Legislature delegated; the factors that do not apply are conceded, not concealed. Article 10's own statutory rejection of bare-conviction dangerousness findings confirms that New York does not otherwise accept the inference the Board draws here. And Respondent's own 2018 classification on this same conduct shows precisely the individualized finding that is missing now. This ground independently supports departure to Risk Level Two, whatever this Court concludes as to Points I and II.</w:t>
      </w:r>
    </w:p>
    <w:p>
      <w:pPr>
        <w:spacing w:after="240" w:before="480" w:line="240" w:lineRule="auto"/>
        <w:ind w:firstLine="0"/>
        <w:jc w:val="center"/>
      </w:pPr>
      <w:r>
        <w:rPr>
          <w:rFonts w:ascii="Times New Roman" w:cs="Times New Roman" w:eastAsia="Times New Roman" w:hAnsi="Times New Roman"/>
          <w:b/>
          <w:bCs/>
          <w:sz w:val="24"/>
          <w:szCs w:val="24"/>
        </w:rPr>
        <w:t xml:space="preserve">CONCLUSION</w:t>
      </w:r>
    </w:p>
    <w:p>
      <w:pPr>
        <w:spacing w:line="480" w:lineRule="auto"/>
        <w:ind w:firstLine="720"/>
        <w:jc w:val="both"/>
      </w:pPr>
      <w:r>
        <w:rPr>
          <w:rFonts w:ascii="Times New Roman" w:cs="Times New Roman" w:eastAsia="Times New Roman" w:hAnsi="Times New Roman"/>
          <w:sz w:val="24"/>
          <w:szCs w:val="24"/>
        </w:rPr>
        <w:t xml:space="preserve">For the foregoing reasons — because the record presents, in as pure a form as it can appear, the over-classification risk Gillotti directs this Court to guard against and the December 2017 reoffense is properly understood as relapse rather than escalation; because the Board's recommendation rests on a Case Summary built from a document structurally unlike the one Mingo excused from foundation, without a single citation to the presentence report it purports to summarize; and, in the alternative, because Override 1 cannot lawfully substitute for the individualized threat-to-public-safety finding Correction Law § 168-l(6) requires — Respondent respectfully requests that this Court grant a downward departure from the presumptive Risk Level Three and classify Respondent a Risk Level Two sex offender.</w:t>
      </w:r>
    </w:p>
    <w:p>
      <w:pPr>
        <w:spacing w:line="240" w:lineRule="auto"/>
      </w:pPr>
      <w:r>
        <w:rPr>
          <w:rFonts w:ascii="Times New Roman" w:cs="Times New Roman" w:eastAsia="Times New Roman" w:hAnsi="Times New Roman"/>
          <w:sz w:val="24"/>
          <w:szCs w:val="24"/>
        </w:rPr>
        <w:t xml:space="preserve"/>
      </w:r>
    </w:p>
    <w:p>
      <w:pPr>
        <w:spacing w:line="240" w:lineRule="auto"/>
        <w:ind w:firstLine="0"/>
        <w:jc w:val="left"/>
      </w:pPr>
      <w:r>
        <w:rPr>
          <w:rFonts w:ascii="Times New Roman" w:cs="Times New Roman" w:eastAsia="Times New Roman" w:hAnsi="Times New Roman"/>
          <w:sz w:val="24"/>
          <w:szCs w:val="24"/>
        </w:rPr>
        <w:t xml:space="preserve">Dated: [_______________], 2026</w:t>
      </w:r>
    </w:p>
    <w:p>
      <w:pPr>
        <w:spacing w:line="240" w:lineRule="auto"/>
        <w:ind w:firstLine="0"/>
        <w:jc w:val="left"/>
      </w:pPr>
      <w:r>
        <w:rPr>
          <w:rFonts w:ascii="Times New Roman" w:cs="Times New Roman" w:eastAsia="Times New Roman" w:hAnsi="Times New Roman"/>
          <w:sz w:val="24"/>
          <w:szCs w:val="24"/>
        </w:rPr>
        <w:t xml:space="preserve">       Rochester, New York</w:t>
      </w:r>
    </w:p>
    <w:p>
      <w:pPr>
        <w:spacing w:line="240" w:lineRule="auto"/>
      </w:pPr>
      <w:r>
        <w:rPr>
          <w:rFonts w:ascii="Times New Roman" w:cs="Times New Roman" w:eastAsia="Times New Roman" w:hAnsi="Times New Roman"/>
          <w:sz w:val="24"/>
          <w:szCs w:val="24"/>
        </w:rPr>
        <w:t xml:space="preserve"/>
      </w:r>
    </w:p>
    <w:p>
      <w:pPr>
        <w:spacing w:line="240" w:lineRule="auto"/>
        <w:ind w:firstLine="0"/>
        <w:jc w:val="left"/>
      </w:pPr>
      <w:r>
        <w:rPr>
          <w:rFonts w:ascii="Times New Roman" w:cs="Times New Roman" w:eastAsia="Times New Roman" w:hAnsi="Times New Roman"/>
          <w:sz w:val="24"/>
          <w:szCs w:val="24"/>
        </w:rPr>
        <w:t xml:space="preserve">                                                Respectfully submitted,</w:t>
      </w:r>
    </w:p>
    <w:p>
      <w:pPr>
        <w:spacing w:line="240" w:lineRule="auto"/>
      </w:pPr>
      <w:r>
        <w:rPr>
          <w:rFonts w:ascii="Times New Roman" w:cs="Times New Roman" w:eastAsia="Times New Roman" w:hAnsi="Times New Roman"/>
          <w:sz w:val="24"/>
          <w:szCs w:val="24"/>
        </w:rPr>
        <w:t xml:space="preserve"/>
      </w:r>
    </w:p>
    <w:p>
      <w:pPr>
        <w:spacing w:line="240" w:lineRule="auto"/>
        <w:ind w:firstLine="0"/>
        <w:jc w:val="left"/>
      </w:pPr>
      <w:r>
        <w:rPr>
          <w:rFonts w:ascii="Times New Roman" w:cs="Times New Roman" w:eastAsia="Times New Roman" w:hAnsi="Times New Roman"/>
          <w:sz w:val="24"/>
          <w:szCs w:val="24"/>
        </w:rPr>
        <w:t xml:space="preserve">                                                _______________________________</w:t>
      </w:r>
    </w:p>
    <w:p>
      <w:pPr>
        <w:spacing w:line="240" w:lineRule="auto"/>
        <w:ind w:firstLine="0"/>
        <w:jc w:val="left"/>
      </w:pPr>
      <w:r>
        <w:rPr>
          <w:rFonts w:ascii="Times New Roman" w:cs="Times New Roman" w:eastAsia="Times New Roman" w:hAnsi="Times New Roman"/>
          <w:sz w:val="24"/>
          <w:szCs w:val="24"/>
        </w:rPr>
        <w:t xml:space="preserve">                                                [Attorney Name]</w:t>
      </w:r>
    </w:p>
    <w:p>
      <w:pPr>
        <w:spacing w:line="240" w:lineRule="auto"/>
        <w:ind w:firstLine="0"/>
        <w:jc w:val="left"/>
      </w:pPr>
      <w:r>
        <w:rPr>
          <w:rFonts w:ascii="Times New Roman" w:cs="Times New Roman" w:eastAsia="Times New Roman" w:hAnsi="Times New Roman"/>
          <w:sz w:val="24"/>
          <w:szCs w:val="24"/>
        </w:rPr>
        <w:t xml:space="preserve">                                                Attorney for Respondent</w:t>
      </w:r>
    </w:p>
    <w:p>
      <w:pPr>
        <w:spacing w:line="240" w:lineRule="auto"/>
        <w:ind w:firstLine="0"/>
        <w:jc w:val="left"/>
      </w:pPr>
      <w:r>
        <w:rPr>
          <w:rFonts w:ascii="Times New Roman" w:cs="Times New Roman" w:eastAsia="Times New Roman" w:hAnsi="Times New Roman"/>
          <w:sz w:val="24"/>
          <w:szCs w:val="24"/>
        </w:rPr>
        <w:t xml:space="preserve">                                                [Address]</w:t>
      </w:r>
    </w:p>
    <w:p>
      <w:pPr>
        <w:spacing w:line="240" w:lineRule="auto"/>
        <w:ind w:firstLine="0"/>
        <w:jc w:val="left"/>
      </w:pPr>
      <w:r>
        <w:rPr>
          <w:rFonts w:ascii="Times New Roman" w:cs="Times New Roman" w:eastAsia="Times New Roman" w:hAnsi="Times New Roman"/>
          <w:sz w:val="24"/>
          <w:szCs w:val="24"/>
        </w:rPr>
        <w:t xml:space="preserve">                                                [Bar Registration No.]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2026-08-15T00:40:53.352Z</dcterms:created>
  <dcterms:modified xsi:type="dcterms:W3CDTF">2026-08-15T00:40:53.353Z</dcterms:modified>
</cp:coreProperties>
</file>

<file path=docProps/custom.xml><?xml version="1.0" encoding="utf-8"?>
<Properties xmlns="http://schemas.openxmlformats.org/officeDocument/2006/custom-properties" xmlns:vt="http://schemas.openxmlformats.org/officeDocument/2006/docPropsVTypes"/>
</file>