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480" w:lineRule="auto" w:before="0" w:after="0"/>
        <w:ind w:firstLine="720"/>
        <w:jc w:val="center"/>
      </w:pPr>
      <w:r>
        <w:rPr>
          <w:rFonts w:ascii="Times New Roman" w:hAnsi="Times New Roman" w:eastAsia="Times New Roman" w:cs="Times New Roman"/>
          <w:sz w:val="24"/>
        </w:rPr>
        <w:t>UNITED STATES DISTRICT COURT</w:t>
        <w:br/>
      </w:r>
      <w:r>
        <w:rPr>
          <w:rFonts w:ascii="Times New Roman" w:hAnsi="Times New Roman" w:eastAsia="Times New Roman" w:cs="Times New Roman"/>
          <w:sz w:val="24"/>
        </w:rPr>
        <w:t>WESTERN DISTRICT OF NEW YORK</w:t>
      </w:r>
    </w:p>
    <w:p>
      <w:pPr>
        <w:pStyle w:val="BodyText"/>
        <w:spacing w:line="480" w:lineRule="auto" w:before="0" w:after="0"/>
      </w:pPr>
      <w:r>
        <w:rPr>
          <w:rFonts w:ascii="Times New Roman" w:hAnsi="Times New Roman" w:eastAsia="Times New Roman" w:cs="Times New Roman"/>
          <w:sz w:val="24"/>
        </w:rPr>
        <w:t xml:space="preserve">UNITED STATES OF AMERICA,</w:t>
      </w:r>
    </w:p>
    <w:p>
      <w:pPr>
        <w:tabs>
          <w:tab w:pos="8640" w:val="right"/>
        </w:tabs>
        <w:spacing w:line="480" w:lineRule="auto" w:before="0" w:after="0"/>
        <w:ind w:left="720"/>
      </w:pPr>
      <w:r>
        <w:rPr>
          <w:rFonts w:ascii="Times New Roman" w:hAnsi="Times New Roman" w:eastAsia="Times New Roman" w:cs="Times New Roman"/>
          <w:sz w:val="24"/>
        </w:rPr>
        <w:t>v.</w:t>
        <w:tab/>
        <w:t>No. 6:18-CR-06018-DGL-MWP</w:t>
      </w:r>
    </w:p>
    <w:p>
      <w:pPr>
        <w:pStyle w:val="FirstParagraph"/>
        <w:spacing w:line="480" w:lineRule="auto" w:before="0" w:after="0"/>
      </w:pPr>
      <w:r>
        <w:rPr>
          <w:rFonts w:ascii="Times New Roman" w:hAnsi="Times New Roman" w:eastAsia="Times New Roman" w:cs="Times New Roman"/>
          <w:sz w:val="24"/>
        </w:rPr>
        <w:t xml:space="preserve">JEFFREY BERNECKY,</w:t>
      </w:r>
    </w:p>
    <w:p>
      <w:pPr>
        <w:spacing w:line="480" w:lineRule="auto" w:before="0" w:after="0"/>
        <w:ind w:left="720"/>
      </w:pPr>
      <w:r>
        <w:rPr>
          <w:rFonts w:ascii="Times New Roman" w:hAnsi="Times New Roman" w:eastAsia="Times New Roman" w:cs="Times New Roman"/>
          <w:sz w:val="24"/>
        </w:rPr>
        <w:t>Defendant.</w:t>
      </w:r>
    </w:p>
    <w:bookmarkStart w:id="38" w:name="X6a68cae5143134b1ddbde14d8e7f8455a52eb78"/>
    <w:p>
      <w:pPr>
        <w:pStyle w:val="Heading1"/>
        <w:spacing w:line="480" w:lineRule="auto" w:before="0" w:after="0"/>
        <w:jc w:val="center"/>
      </w:pPr>
      <w:r>
        <w:rPr>
          <w:rFonts w:ascii="Times New Roman" w:hAnsi="Times New Roman" w:eastAsia="Times New Roman" w:cs="Times New Roman"/>
          <w:sz w:val="24"/>
        </w:rPr>
        <w:t xml:space="preserve">DEFENDANT’S MOTION TO MODIFY CONDITIONS OF SUPERVISED RELEASE</w:t>
      </w:r>
    </w:p>
    <w:bookmarkStart w:id="20" w:name="Xb50e6c3f6e6cffdd2a7953aaef1fd31985b5591"/>
    <w:p>
      <w:pPr>
        <w:pStyle w:val="Heading2"/>
        <w:spacing w:line="480" w:lineRule="auto" w:before="0" w:after="0"/>
        <w:jc w:val="center"/>
      </w:pPr>
      <w:r>
        <w:rPr>
          <w:rFonts w:ascii="Times New Roman" w:hAnsi="Times New Roman" w:eastAsia="Times New Roman" w:cs="Times New Roman"/>
          <w:sz w:val="24"/>
        </w:rPr>
        <w:t xml:space="preserve">PURSUANT TO 18 U.S.C. § 3583(e)(2) AND FED. R. CRIM. P. 32.1(c)</w:t>
      </w:r>
    </w:p>
    <w:p>
      <w:pPr>
        <w:pStyle w:val="FirstParagraph"/>
        <w:spacing w:line="480" w:lineRule="auto" w:before="0" w:after="0"/>
        <w:ind w:firstLine="720"/>
      </w:pPr>
      <w:r>
        <w:rPr>
          <w:rFonts w:ascii="Times New Roman" w:hAnsi="Times New Roman" w:eastAsia="Times New Roman" w:cs="Times New Roman"/>
          <w:sz w:val="24"/>
        </w:rPr>
        <w:t xml:space="preserve">Defendant Jeffrey Bernecky, proceeding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pro se</w:t>
      </w:r>
      <w:r>
        <w:rPr>
          <w:rFonts w:ascii="Times New Roman" w:hAnsi="Times New Roman" w:eastAsia="Times New Roman" w:cs="Times New Roman"/>
          <w:sz w:val="24"/>
        </w:rPr>
        <w:t xml:space="preserve">, respectfully moves this Court, pursuant to 18 U.S.C. § 3583(e)(2) and Federal Rule of Criminal Procedure 32.1(c), to modify the conditions of supervised release imposed by the Judgment entered June 12, 2018 (Dkt. 28). In support of this motion, Mr. Bernecky states as follows.</w:t>
      </w:r>
    </w:p>
    <w:bookmarkEnd w:id="20"/>
    <w:bookmarkStart w:id="21" w:name="preliminary-statement"/>
    <w:p>
      <w:pPr>
        <w:pStyle w:val="Heading2"/>
        <w:spacing w:line="480" w:lineRule="auto" w:before="0" w:after="0"/>
        <w:jc w:val="center"/>
      </w:pPr>
      <w:r>
        <w:rPr>
          <w:rFonts w:ascii="Times New Roman" w:hAnsi="Times New Roman" w:eastAsia="Times New Roman" w:cs="Times New Roman"/>
          <w:sz w:val="24"/>
        </w:rPr>
        <w:t xml:space="preserve">PRELIMINARY STATEMENT</w:t>
      </w:r>
    </w:p>
    <w:p>
      <w:pPr>
        <w:pStyle w:val="FirstParagraph"/>
        <w:spacing w:line="480" w:lineRule="auto" w:before="0" w:after="0"/>
        <w:ind w:firstLine="720"/>
      </w:pPr>
      <w:r>
        <w:rPr>
          <w:rFonts w:ascii="Times New Roman" w:hAnsi="Times New Roman" w:eastAsia="Times New Roman" w:cs="Times New Roman"/>
          <w:sz w:val="24"/>
        </w:rPr>
        <w:t xml:space="preserve">The commencement of supervised release marks a critical juncture for any defendant. Having completed his term of imprisonment, he now begins the next phase — supervised release — during which he must reintegrate into his community and prove himself a productive, law-abiding member of it, all while still serving the sentence the Court imposed. The conditions that will govern that reintegration, however, are almost always fixed years earlier, at a sentencing hearing where the room’s attention is on one question only — how much time the defendant will spend in prison — and rarely on how a computer-monitoring clause will read once that defendant is actually applying for jobs, whether a risk-notification condition already invalidated in this Circuit was ever actually corrected on his own Judgment, or what a treatment provider will demand of him once a program the Court ordered in the abstract acquires an actual administrator with an actual set of rules. The years that typically separate sentencing from the start of supervision produce exactly the kind of gap this motion addresses: conditions whose text was never tested against a real circumstance, about to be tested against many of them at once.</w:t>
      </w:r>
    </w:p>
    <w:p>
      <w:pPr>
        <w:pStyle w:val="BodyText"/>
        <w:spacing w:line="480" w:lineRule="auto" w:before="0" w:after="0"/>
        <w:ind w:firstLine="720"/>
      </w:pPr>
      <w:r>
        <w:rPr>
          <w:rFonts w:ascii="Times New Roman" w:hAnsi="Times New Roman" w:eastAsia="Times New Roman" w:cs="Times New Roman"/>
          <w:sz w:val="24"/>
        </w:rPr>
        <w:t xml:space="preserve">Mr. Bernecky’s case shows what that gap looks like in practice, and it has already produced real consequences before his supervision has even begun. He was sentenced in 2018. His ten-year term of supervision begins on or about July 30, 2026. In the interval, an employer that offered him permanent, full-time work read Special Condition (a)’s text on its own and grew concerned that a monitoring provision written for Mr. Bernecky might extend to the company’s own systems — a possibility no one at sentencing was ever asked to consider. Probation has since given two different informal answers to that concern, neither in writing and neither consistent with the other, and the employer has told Mr. Bernecky not to report to work until the question is resolved. He has been out of work for roughly two weeks, at the exact moment he is completing his transition out of Bureau of Prisons custody and has just taken on a one-year apartment lease. In the course of that same job search, Mr. Bernecky was separately told that Special Condition (c) — a condition aimed at deliberate contact with children — would bar him from working anywhere that merely hires or serves anyone under eighteen, a reading that would eliminate an enormous share of entry-level employment. He has just received notice of an approaching state sex-offender risk-classification hearing, and Special Condition (e)’s plain language authorizes disclosure of his presentence report to that proceeding without the individualized showing the law has required of exactly this kind of disclosure for more than forty years. And earlier still, during a pre-supervision meeting, his probation officer handed him a risk-notification condition the Second Circuit had already held invalid, and asked him to sign an acknowledgment of it — the same language this District’s own standing order had already directed be removed from every judgment in the district, more than seven years earlier.</w:t>
      </w:r>
    </w:p>
    <w:p>
      <w:pPr>
        <w:pStyle w:val="BodyText"/>
        <w:spacing w:line="480" w:lineRule="auto" w:before="0" w:after="0"/>
        <w:ind w:firstLine="720"/>
      </w:pPr>
      <w:r>
        <w:rPr>
          <w:rFonts w:ascii="Times New Roman" w:hAnsi="Times New Roman" w:eastAsia="Times New Roman" w:cs="Times New Roman"/>
          <w:sz w:val="24"/>
        </w:rPr>
        <w:t xml:space="preserve">None of this is a single bad actor or a single unlucky break. It is the same structural problem recurring across nine separate conditions: text drafted broadly enough to cover the worst case, at a moment when nobody needed to test its limits, is now being read as broadly as its words can possibly be stretched by whoever happens to be applying it — an employer’s HR department, a treatment provider, a probation officer, a state board that never even asked for the document it is about to receive. Nowhere in this pattern does the 2018 Judgment need to have been wrong for any of this to be true. The problem is what happens after a Judgment goes silent on a question nobody thought to ask, and someone else has to decide what that silence means.</w:t>
      </w:r>
    </w:p>
    <w:p>
      <w:pPr>
        <w:pStyle w:val="BodyText"/>
        <w:spacing w:line="480" w:lineRule="auto" w:before="0" w:after="0"/>
        <w:ind w:firstLine="720"/>
      </w:pPr>
      <w:r>
        <w:rPr>
          <w:rFonts w:ascii="Times New Roman" w:hAnsi="Times New Roman" w:eastAsia="Times New Roman" w:cs="Times New Roman"/>
          <w:sz w:val="24"/>
        </w:rPr>
        <w:t xml:space="preserve">Congress created this authority in Section 3583(e)(2) precisely so that a defendant does not have to wait and find out the hard way, and Rule 32.1(b)’s own drafters explained exactly why: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probationer should be able to obtain resolution of a dispute over an ambiguous term or the meaning of a condition without first having to violate it.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Fed. R. Crim. P. 32.1 advisory committee’s note to subdivision (b) (1979). Mr. Bernecky asks the Court to use that authority now, at the moment the Sentencing Commission’s own November 2025 amendment identifies as the right one: the start of supervision.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U.S.S.G. § 5D1.4(a) (2025). This is not a challenge to the 2018 sentence and does not ask the Court to reopen anything the sentencing judge actually decided. It asks for nine corrections, taken up one condition at a time in the order the Judgment lists them, so that when Mr. Bernecky’s term of supervision begins in the coming days, he begins it knowing what each condition actually requires — not discovering it, one violation report at a time, from whoever happens to be enforcing it against him.</w:t>
      </w:r>
    </w:p>
    <w:bookmarkEnd w:id="21"/>
    <w:bookmarkStart w:id="22" w:name="jurisdiction-and-standard-of-review"/>
    <w:p>
      <w:pPr>
        <w:pStyle w:val="Heading2"/>
        <w:spacing w:line="480" w:lineRule="auto" w:before="0" w:after="0"/>
        <w:jc w:val="center"/>
      </w:pPr>
      <w:r>
        <w:rPr>
          <w:rFonts w:ascii="Times New Roman" w:hAnsi="Times New Roman" w:eastAsia="Times New Roman" w:cs="Times New Roman"/>
          <w:sz w:val="24"/>
        </w:rPr>
        <w:t xml:space="preserve">JURISDICTION AND STANDARD OF REVIEW</w:t>
      </w:r>
    </w:p>
    <w:p>
      <w:pPr>
        <w:pStyle w:val="FirstParagraph"/>
        <w:spacing w:line="480" w:lineRule="auto" w:before="0" w:after="0"/>
        <w:ind w:firstLine="720"/>
      </w:pPr>
      <w:r>
        <w:rPr>
          <w:rFonts w:ascii="Times New Roman" w:hAnsi="Times New Roman" w:eastAsia="Times New Roman" w:cs="Times New Roman"/>
          <w:sz w:val="24"/>
        </w:rPr>
        <w:t xml:space="preserve">This motion is brought pursuant to 18 U.S.C. § 3583(e)(2), Federal Rule of Criminal Procedure 32.1, and U.S.S.G. § 5D1.4. This Court is authorized to modify, reduce, or enlarge the conditions of Mr. Bernecky’s supervised release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at any time prior to the expiration or termination of the term of supervised release, pursuant to the provisions of the Federal Rules of Criminal Procedure relating to the modification of probation.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18 U.S.C. § 3583(e)(2). Rule 32.1(c) codifies that authority for exactly this circumstance: its own drafters explained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in cases of neglect, overwork, or simply unreasonableness on the part of the probation officer, the probationer should have recourse to the sentencing court when a condition needs clarification or modification.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Fed. R. Crim. P. 32.1 advisory committee’s note to subdivision (b) (1979). That recourse is what Mr. Bernecky invokes here.</w:t>
      </w:r>
    </w:p>
    <w:p>
      <w:pPr>
        <w:pStyle w:val="BodyText"/>
        <w:spacing w:line="480" w:lineRule="auto" w:before="0" w:after="0"/>
        <w:ind w:firstLine="720"/>
      </w:pPr>
      <w:r>
        <w:rPr>
          <w:rFonts w:ascii="Times New Roman" w:hAnsi="Times New Roman" w:eastAsia="Times New Roman" w:cs="Times New Roman"/>
          <w:sz w:val="24"/>
        </w:rPr>
        <w:t xml:space="preserve">The authority is general and forward-looking.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Lussier</w:t>
      </w:r>
      <w:r>
        <w:rPr>
          <w:rFonts w:ascii="Times New Roman" w:hAnsi="Times New Roman" w:eastAsia="Times New Roman" w:cs="Times New Roman"/>
          <w:sz w:val="24"/>
        </w:rPr>
        <w:t xml:space="preserve">, 104 F.3d 32, 36 (2d Cir. 1997) (the Advisory Committee’s Notes explain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sentencing court must be able to respond to changes in the [defendant’s] circumstances as well as new ideas and methods of rehabilitation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This motion is built on exactly that kind of change: since 2018, Mr. Bernecky’s family circumstances, his financial obligations, the technology these conditions were written to address, and the governing law itself have all moved, and each Part below documents the specific change that supports the relief requested there.</w:t>
      </w:r>
    </w:p>
    <w:p>
      <w:pPr>
        <w:pStyle w:val="BodyText"/>
        <w:spacing w:line="480" w:lineRule="auto" w:before="0" w:after="0"/>
        <w:ind w:firstLine="720"/>
      </w:pPr>
      <w:r>
        <w:rPr>
          <w:rFonts w:ascii="Times New Roman" w:hAnsi="Times New Roman" w:eastAsia="Times New Roman" w:cs="Times New Roman"/>
          <w:sz w:val="24"/>
        </w:rPr>
        <w:t xml:space="preserve">The statute permits modification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iCs/>
          <w:rFonts w:ascii="Times New Roman" w:hAnsi="Times New Roman" w:eastAsia="Times New Roman" w:cs="Times New Roman"/>
          <w:i/>
          <w:sz w:val="24"/>
        </w:rPr>
        <w:t xml:space="preserve">at any time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the Sentencing Commission’s most recent guidance affirmatively invites courts to reassess existing conditions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in consultation with the probation officer after the defendant’s release from imprisonment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Mr. Bernecky’s exact circumstance right now. U.S.S.G. § 5D1.4(a) (2025). There is no reason to leave any of the following questions for after supervision starts when the record already supports resolving them today.</w:t>
      </w:r>
    </w:p>
    <w:bookmarkEnd w:id="22"/>
    <w:bookmarkStart w:id="23" w:name="statement-of-facts"/>
    <w:p>
      <w:pPr>
        <w:pStyle w:val="Heading2"/>
        <w:spacing w:line="480" w:lineRule="auto" w:before="0" w:after="0"/>
        <w:jc w:val="center"/>
      </w:pPr>
      <w:r>
        <w:rPr>
          <w:rFonts w:ascii="Times New Roman" w:hAnsi="Times New Roman" w:eastAsia="Times New Roman" w:cs="Times New Roman"/>
          <w:sz w:val="24"/>
        </w:rPr>
        <w:t xml:space="preserve">STATEMENT OF FACTS</w:t>
      </w:r>
    </w:p>
    <w:p>
      <w:pPr>
        <w:pStyle w:val="FirstParagraph"/>
        <w:spacing w:line="480" w:lineRule="auto" w:before="0" w:after="0"/>
        <w:ind w:firstLine="720"/>
      </w:pPr>
      <w:r>
        <w:rPr>
          <w:rFonts w:ascii="Times New Roman" w:hAnsi="Times New Roman" w:eastAsia="Times New Roman" w:cs="Times New Roman"/>
          <w:sz w:val="24"/>
        </w:rPr>
        <w:t xml:space="preserve">On June 12, 2018, the Honorable David G. Larimer sentenced Mr. Bernecky to 120 months’ imprisonment and ten years of supervised release. Mr. Bernecky pleaded guilty quickly, to possessing child pornography involving prepubescent minors, and that sentence was imposed concurrently with the resolution of a supervised-release violation from an earlier federal conviction, at docket 6:11-CR-06045-001, for possessing and distributing child pornography. Mr. Bernecky is a recidivist on this record, and this motion does not ask the Court to look past that fact. What the record also shows, and what this motion does rely on, is that Mr. Bernecky has been cooperative and honest with supervision authorities, including his current probation officer, throughout the period since. He is scheduled to complete his prison term and begin his ten-year term of supervision on or about July 30, 2026.</w:t>
      </w:r>
    </w:p>
    <w:p>
      <w:pPr>
        <w:pStyle w:val="BodyText"/>
        <w:spacing w:line="480" w:lineRule="auto" w:before="0" w:after="0"/>
        <w:ind w:firstLine="720"/>
      </w:pPr>
      <w:r>
        <w:rPr>
          <w:rFonts w:ascii="Times New Roman" w:hAnsi="Times New Roman" w:eastAsia="Times New Roman" w:cs="Times New Roman"/>
          <w:sz w:val="24"/>
        </w:rPr>
        <w:t xml:space="preserve">The facts specific to each condition addressed in this motion — including the employment disputes Special Conditions (a) and (c) have already produced, the status of the restitution obligation underlying Special Condition (i), the approaching state classification proceeding underlying Special Condition (e), and the circumstances surrounding Standard Condition 12’s risk-notification language — are presented together with the corresponding argument below, for ease of reference.</w:t>
      </w:r>
    </w:p>
    <w:bookmarkEnd w:id="23"/>
    <w:bookmarkStart w:id="35" w:name="argument"/>
    <w:p>
      <w:pPr>
        <w:pStyle w:val="Heading2"/>
        <w:spacing w:line="480" w:lineRule="auto" w:before="0" w:after="0"/>
        <w:jc w:val="center"/>
      </w:pPr>
      <w:r>
        <w:rPr>
          <w:rFonts w:ascii="Times New Roman" w:hAnsi="Times New Roman" w:eastAsia="Times New Roman" w:cs="Times New Roman"/>
          <w:sz w:val="24"/>
        </w:rPr>
        <w:t xml:space="preserve">ARGUMENT</w:t>
      </w:r>
    </w:p>
    <w:bookmarkStart w:id="24" w:name="Xb7a2a355642e459691c1d3098c15bf30c386472"/>
    <w:p>
      <w:pPr>
        <w:pStyle w:val="Heading3"/>
        <w:spacing w:line="480" w:lineRule="auto" w:before="0" w:after="0"/>
      </w:pPr>
      <w:r>
        <w:rPr>
          <w:rFonts w:ascii="Times New Roman" w:hAnsi="Times New Roman" w:eastAsia="Times New Roman" w:cs="Times New Roman"/>
          <w:sz w:val="24"/>
        </w:rPr>
        <w:t xml:space="preserve">I. Special Condition (a) — The Computer and Internet Monitoring Program</w:t>
      </w:r>
    </w:p>
    <w:p>
      <w:pPr>
        <w:pStyle w:val="FirstParagraph"/>
        <w:spacing w:line="480" w:lineRule="auto" w:before="0" w:after="0"/>
        <w:ind w:firstLine="720"/>
      </w:pPr>
      <w:r>
        <w:rPr>
          <w:rFonts w:ascii="Times New Roman" w:hAnsi="Times New Roman" w:eastAsia="Times New Roman" w:cs="Times New Roman"/>
          <w:sz w:val="24"/>
        </w:rPr>
        <w:t xml:space="preserve">Once Mr. Bernecky’s term of supervision begins, Special Condition (a) will require him to participate in CIMP as a condition of using any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internet capable device,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will authorize Probation to install monitoring software on any device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owned or operated by the defendant,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will authorize unannounced examinations of any computer equipment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owned or used by the defendant,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any monitoring required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avoid, as much as possible, reading any privileged information.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Three problems follow from that text, addressed in turn below. First, at sentencing the Court was never asked to, and did not, undertake an occupational-restriction analysis, and a recent incident shows the condition is genuinely unclear on whether it reaches an employer at all. Second, the condition never specifies what CIMP monitoring actually consists of, leaving the most invasive method available — one Mr. Bernecky has already experienced under a similar condition — to be selected by default. Third, the words the condition uses to decide whose devices are covered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distinct from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owned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have become untenable since 2018, now that ordinary daily life runs through networked devices no one could seriously call an extension of Mr. Bernecky’s own computer.</w:t>
      </w:r>
    </w:p>
    <w:p>
      <w:pPr>
        <w:pStyle w:val="BodyText"/>
        <w:spacing w:line="480" w:lineRule="auto" w:before="0" w:after="0"/>
        <w:ind w:firstLine="720"/>
      </w:pPr>
      <w:r>
        <w:rPr>
          <w:bCs/>
          <w:rFonts w:ascii="Times New Roman" w:hAnsi="Times New Roman" w:eastAsia="Times New Roman" w:cs="Times New Roman"/>
          <w:b/>
          <w:sz w:val="24"/>
        </w:rPr>
        <w:t xml:space="preserve">A. At sentencing, the Court was not asked to, and did not, engage in an occupational-restriction analysis — and a recent incident shows why that gap matters.</w:t>
      </w:r>
    </w:p>
    <w:p>
      <w:pPr>
        <w:pStyle w:val="BodyText"/>
        <w:spacing w:line="480" w:lineRule="auto" w:before="0" w:after="0"/>
        <w:ind w:firstLine="720"/>
      </w:pPr>
      <w:r>
        <w:rPr>
          <w:rFonts w:ascii="Times New Roman" w:hAnsi="Times New Roman" w:eastAsia="Times New Roman" w:cs="Times New Roman"/>
          <w:sz w:val="24"/>
        </w:rPr>
        <w:t xml:space="preserve">An occupational restriction requires the sentencing court to find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reasonably direct relationship . . . between the defendant’s occupation, business, or profession and the conduct relevant to the offense of conviction,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together with a finding that nothing less restrictive would work. U.S.S.G. § 5F1.5(a);</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United States v. Peterson</w:t>
      </w:r>
      <w:r>
        <w:rPr>
          <w:rFonts w:ascii="Times New Roman" w:hAnsi="Times New Roman" w:eastAsia="Times New Roman" w:cs="Times New Roman"/>
          <w:sz w:val="24"/>
        </w:rPr>
        <w:t xml:space="preserve">, 248 F.3d 79, 85-86 (2d Cir. 2001) (per curiam). The lynchpin of Mr. Bernecky’s position is not that this analysis was never performed; it is that Special Condition (a) was never intended to reach his employment at all — and nothing in the Judgment says otherwise. An occupational restriction, when a sentencing court actually imposes one, takes the same form as every other restriction on Mr. Bernecky’s liberty in this Judgment: a written condition on Sheet 3B. Special Condition (a) restricts what Mr. Bernecky may do with his own devices; it says nothing about his occupation, his employer, or his choice of work, because it was never written to. Mr. Bernecky has never been alleged to have used an employer’s computer systems to commit any offense; his conduct occurred entirely on devices he acquired in his own name. Nothing in this record supplies the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reasonably direct relationship</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5F1.5 demands between his occupation and his offense, because no one has ever had occasion to look for one.</w:t>
      </w:r>
    </w:p>
    <w:p>
      <w:pPr>
        <w:pStyle w:val="BodyText"/>
        <w:spacing w:line="480" w:lineRule="auto" w:before="0" w:after="0"/>
        <w:ind w:firstLine="720"/>
      </w:pPr>
      <w:r>
        <w:rPr>
          <w:rFonts w:ascii="Times New Roman" w:hAnsi="Times New Roman" w:eastAsia="Times New Roman" w:cs="Times New Roman"/>
          <w:sz w:val="24"/>
        </w:rPr>
        <w:t xml:space="preserve">The original sentencing court’s intention is paramount, and that intention is what it wrote into the Judgment — not what might be assumed, years later, to have gone unwritten. An occupational restriction does not exist as an unstated inference layered onto a condition that never mentions occupation at all; if the sentencing court had meant to restrict Mr. Bernecky’s employment, that restriction would appear on the face of the Judgment, the same as every other condition of his supervision does. None does. The only intention this condition can fairly be read to carry is the one the Judgment actually contains, and it contains no occupational restriction at all.</w:t>
      </w:r>
    </w:p>
    <w:p>
      <w:pPr>
        <w:pStyle w:val="BodyText"/>
        <w:spacing w:line="480" w:lineRule="auto" w:before="0" w:after="0"/>
        <w:ind w:firstLine="720"/>
      </w:pPr>
      <w:r>
        <w:rPr>
          <w:rFonts w:ascii="Times New Roman" w:hAnsi="Times New Roman" w:eastAsia="Times New Roman" w:cs="Times New Roman"/>
          <w:sz w:val="24"/>
        </w:rPr>
        <w:t xml:space="preserve">A recent incident shows this is not an academic point. While housed at the Rochester Residential Reentry Center, Mr. Bernecky obtained temporary work with a contact-lens manufacturer, and after roughly ninety to one hundred twenty days — the point at which the company’s own practice allows a temporary worker to be considered for direct hire — the manufacturer invited him to apply for permanent, full-time employment. He disclosed his conviction and his coming conditions in full, including the Judgment itself once a general description did not resolve the company’s questions. The company’s human resources office asked, understandably, whether Special Condition (a) would require it to open its own computer systems to federal monitoring simply because Mr. Bernecky was on its payroll — a question the condition’s text does not answer, because no one ever asked the sentencing court to answer it.</w:t>
      </w:r>
    </w:p>
    <w:p>
      <w:pPr>
        <w:pStyle w:val="BodyText"/>
        <w:spacing w:line="480" w:lineRule="auto" w:before="0" w:after="0"/>
        <w:ind w:firstLine="720"/>
      </w:pPr>
      <w:r>
        <w:rPr>
          <w:rFonts w:ascii="Times New Roman" w:hAnsi="Times New Roman" w:eastAsia="Times New Roman" w:cs="Times New Roman"/>
          <w:sz w:val="24"/>
        </w:rPr>
        <w:t xml:space="preserve">Trying to get that question resolved before it cost him the job, Mr. Bernecky asked his probation officer directly whether the company’s own account restrictions might substitute for the monitoring the condition otherwise contemplates. The officer’s first answer was that whatever the company put in place would need to satisfy an unspecified federal standard — an honest answer, but not one drawn from any finding this Court ever made, because none exists. When the company, still waiting on an answer, told Mr. Bernecky not to report to work until the question was resolved, he left his probation officer a voicemail and forwarded the company’s own email describing its concern. After further back-and-forth over roughly a week, the officer told him that an account without internet access, paired with the company’s own monitoring capability, would satisfy her, and that she intended to convey that same understanding directly to the company. Mr. Bernecky does not fault his probation officer for any of this. She was doing her best to answer a question this Judgment gives her no tool to answer, prompted by an employer who — quite reasonably — wanted assurance before opening its own systems to anyone. The problem is not that anyone acted in bad faith; it is that an informal, unwritten, ad hoc understanding, arrived at after two weeks without pay, is the only thing standing between Mr. Bernecky and his next job, and the one after that, for as long as this condition goes uncorrected.</w:t>
      </w:r>
    </w:p>
    <w:p>
      <w:pPr>
        <w:pStyle w:val="BodyText"/>
        <w:spacing w:line="480" w:lineRule="auto" w:before="0" w:after="0"/>
        <w:ind w:firstLine="720"/>
      </w:pPr>
      <w:r>
        <w:rPr>
          <w:rFonts w:ascii="Times New Roman" w:hAnsi="Times New Roman" w:eastAsia="Times New Roman" w:cs="Times New Roman"/>
          <w:sz w:val="24"/>
        </w:rPr>
        <w:t xml:space="preserve">The Second Circuit’s own recent decisions confirm how much is at stake in leaving that answer unwritten. Even a bare employer-</w:t>
      </w:r>
      <w:r>
        <w:rPr>
          <w:iCs/>
          <w:rFonts w:ascii="Times New Roman" w:hAnsi="Times New Roman" w:eastAsia="Times New Roman" w:cs="Times New Roman"/>
          <w:i/>
          <w:sz w:val="24"/>
        </w:rPr>
        <w:t xml:space="preserve">notification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clause, far milder than a monitoring-capability requirement, has been treated as an occupational restriction demanding exactly this showing.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United States v. Love</w:t>
      </w:r>
      <w:r>
        <w:rPr>
          <w:rFonts w:ascii="Times New Roman" w:hAnsi="Times New Roman" w:eastAsia="Times New Roman" w:cs="Times New Roman"/>
          <w:sz w:val="24"/>
        </w:rPr>
        <w:t xml:space="preserve">, No. 24-1706-cr, 2025 WL 1077176 (2d Cir. Apr. 8, 2025);</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Jenkins</w:t>
      </w:r>
      <w:r>
        <w:rPr>
          <w:rFonts w:ascii="Times New Roman" w:hAnsi="Times New Roman" w:eastAsia="Times New Roman" w:cs="Times New Roman"/>
          <w:sz w:val="24"/>
        </w:rPr>
        <w:t xml:space="preserve">, 854 F.3d 181 (2d Cir. 2017);</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Ruff</w:t>
      </w:r>
      <w:r>
        <w:rPr>
          <w:rFonts w:ascii="Times New Roman" w:hAnsi="Times New Roman" w:eastAsia="Times New Roman" w:cs="Times New Roman"/>
          <w:sz w:val="24"/>
        </w:rPr>
        <w:t xml:space="preserve">, No. 18-3247-cr (2d Cir. Nov. 14, 2019) (vacating outright);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Lombardi</w:t>
      </w:r>
      <w:r>
        <w:rPr>
          <w:rFonts w:ascii="Times New Roman" w:hAnsi="Times New Roman" w:eastAsia="Times New Roman" w:cs="Times New Roman"/>
          <w:sz w:val="24"/>
        </w:rPr>
        <w:t xml:space="preserve">, No. 17-2352-cr (2d Cir. Mar. 22, 2018) (remanding);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Piper</w:t>
      </w:r>
      <w:r>
        <w:rPr>
          <w:rFonts w:ascii="Times New Roman" w:hAnsi="Times New Roman" w:eastAsia="Times New Roman" w:cs="Times New Roman"/>
          <w:sz w:val="24"/>
        </w:rPr>
        <w:t xml:space="preserve">, No. 19-1058-cr (2d Cir. Mar. 30, 2020) (remanding). Special Condition (a) imposes no notification requirement at all — Mr. Bernecky volunteered one anyway — and it has already produced something considerably heavier than notification: a real capability dispute with a real employer, months before supervision even begins.</w:t>
      </w:r>
    </w:p>
    <w:p>
      <w:pPr>
        <w:pStyle w:val="BodyText"/>
        <w:spacing w:line="480" w:lineRule="auto" w:before="0" w:after="0"/>
        <w:ind w:firstLine="720"/>
      </w:pPr>
      <w:r>
        <w:rPr>
          <w:iCs/>
          <w:rFonts w:ascii="Times New Roman" w:hAnsi="Times New Roman" w:eastAsia="Times New Roman" w:cs="Times New Roman"/>
          <w:i/>
          <w:sz w:val="24"/>
        </w:rPr>
        <w:t xml:space="preserve">United States v. Brown</w:t>
      </w:r>
      <w:r>
        <w:rPr>
          <w:rFonts w:ascii="Times New Roman" w:hAnsi="Times New Roman" w:eastAsia="Times New Roman" w:cs="Times New Roman"/>
          <w:sz w:val="24"/>
        </w:rPr>
        <w:t xml:space="preserve">, 173 F.4th 45 (2d Cir. 2026), does not change this analysis. Brown argued his condition operated as a</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compelled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notification requirement; Mr. Bernecky makes no comparable claim, since his own disclosure was voluntary and the employer already accepted it. Brown’s condition also contained its own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as permitted by the employer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consent mechanism, which this condition lacks entirely, and the Brown panel resolved the occupational-restriction question on plain-error review.</w:t>
      </w:r>
    </w:p>
    <w:p>
      <w:pPr>
        <w:pStyle w:val="BodyText"/>
        <w:spacing w:line="480" w:lineRule="auto" w:before="0" w:after="0"/>
        <w:ind w:firstLine="720"/>
      </w:pPr>
      <w:r>
        <w:rPr>
          <w:rFonts w:ascii="Times New Roman" w:hAnsi="Times New Roman" w:eastAsia="Times New Roman" w:cs="Times New Roman"/>
          <w:sz w:val="24"/>
        </w:rPr>
        <w:t xml:space="preserve">Leaving this to be resolved informally, one anxious employer at a time, fixes nothing; a written order does. The Tenth Circuit confronted the identical confusion over materially the same condition language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Mike</w:t>
      </w:r>
      <w:r>
        <w:rPr>
          <w:rFonts w:ascii="Times New Roman" w:hAnsi="Times New Roman" w:eastAsia="Times New Roman" w:cs="Times New Roman"/>
          <w:sz w:val="24"/>
        </w:rPr>
        <w:t xml:space="preserve">, 632 F.3d 686, 696-97 (10th Cir. 2011), where even the government conceded the condition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cannot be read fairly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reach an employer’s computers — and the court did not leave that ambiguity standing. It remanded with instructions to clarify the condition, directing that if the district court actually meant to reach an employer’s devices, it would first need to make the § 5F1.5 findings.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also United States v. Matteson</w:t>
      </w:r>
      <w:r>
        <w:rPr>
          <w:rFonts w:ascii="Times New Roman" w:hAnsi="Times New Roman" w:eastAsia="Times New Roman" w:cs="Times New Roman"/>
          <w:sz w:val="24"/>
        </w:rPr>
        <w:t xml:space="preserve">, 327 F. App’x 791 (10th Cir. 2009). Mr. Bernecky anticipates the government may respond that the condition’s own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internet capable device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language reaches an employer’s computers regardless of what any individual employee account can do — but that reading proves too much: it would mean every employer of every person on CIMP supervision has its entire computer network conscripted into a federal monitoring program the moment it hires that person, a result no § 5F1.5 finding in this record authorizes and no employer would knowingly accept. The relief requested is the one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Mike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itself ordered: a clarification that, absent any § 5F1.5 finding in this record, Special Condition (a) will not be read, once supervision begins, to reach an employer’s own systems.</w:t>
      </w:r>
    </w:p>
    <w:p>
      <w:pPr>
        <w:pStyle w:val="BodyText"/>
        <w:spacing w:line="480" w:lineRule="auto" w:before="0" w:after="0"/>
        <w:ind w:firstLine="720"/>
      </w:pPr>
      <w:r>
        <w:rPr>
          <w:rFonts w:ascii="Times New Roman" w:hAnsi="Times New Roman" w:eastAsia="Times New Roman" w:cs="Times New Roman"/>
          <w:sz w:val="24"/>
        </w:rPr>
        <w:t xml:space="preserve">There is a further, independent reason for the Court to resolve this now, apart from Mr. Bernecky’s own stake in his employment. An employer with no connection whatsoever to this criminal case, and no opportunity to be heard in it, is left to guess whether hiring Mr. Bernecky opens its own computer systems to federal surveillance — and that employer will never realistically appear in this case to protect its own interest in not being drawn into someone else’s supervision. Courts have long recognized exactly this kind of interest as one worth accounting for even when it is not the party before the court that holds it, precisely because the party who does hold it has no practical way to assert it itself.</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Powers v. Ohio</w:t>
      </w:r>
      <w:r>
        <w:rPr>
          <w:rFonts w:ascii="Times New Roman" w:hAnsi="Times New Roman" w:eastAsia="Times New Roman" w:cs="Times New Roman"/>
          <w:sz w:val="24"/>
        </w:rPr>
        <w:t xml:space="preserve">, 499 U.S. 400, 410-15 (1991) (permitting a criminal defendant to raise excluded jurors’ own rights because the jurors faced a practical barrier to litigating the violation themselves);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Singleton v. Wulff</w:t>
      </w:r>
      <w:r>
        <w:rPr>
          <w:rFonts w:ascii="Times New Roman" w:hAnsi="Times New Roman" w:eastAsia="Times New Roman" w:cs="Times New Roman"/>
          <w:sz w:val="24"/>
        </w:rPr>
        <w:t xml:space="preserve">, 428 U.S. 106, 117 (1976) (permitting physicians to assert their patients’ rights where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genuine obstacle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stood between the right-holder and the courthouse);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Warth v. Seldin</w:t>
      </w:r>
      <w:r>
        <w:rPr>
          <w:rFonts w:ascii="Times New Roman" w:hAnsi="Times New Roman" w:eastAsia="Times New Roman" w:cs="Times New Roman"/>
          <w:sz w:val="24"/>
        </w:rPr>
        <w:t xml:space="preserve">, 422 U.S. 490, 499-500 (1975) (describing that same practical-obstacle exception to the general rule against asserting a third party’s own rights);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cf. Kowalski v. Tesmer</w:t>
      </w:r>
      <w:r>
        <w:rPr>
          <w:rFonts w:ascii="Times New Roman" w:hAnsi="Times New Roman" w:eastAsia="Times New Roman" w:cs="Times New Roman"/>
          <w:sz w:val="24"/>
        </w:rPr>
        <w:t xml:space="preserve">, 543 U.S. 125, 130-31 (2004) (denying standing where no comparable obstacle existed, since the right-holders could simply assert their own claims once identified). An employer facing this condition’s silence has exactly the obstacle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Powers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Singleton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describe, not the absence of one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Kowalski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found dispositive: it has no vehicle to appear in someone else’s criminal case and protect its own interest before the harm — losing the use of its own systems, or losing an employee it already wanted to hire — has already occurred.</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amending Special Condition (a) to add clarifying language along the lines of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with the exception of systems necessary for employment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confirming, consistent with the absence of any § 5F1.5 finding in this record, that the condition was never intended to reach Mr. Bernecky’s employment, and imposes no burden on any employer, regardless of what that employer’s own systems can or cannot do.</w:t>
      </w:r>
    </w:p>
    <w:p>
      <w:pPr>
        <w:pStyle w:val="BodyText"/>
        <w:spacing w:line="480" w:lineRule="auto" w:before="0" w:after="0"/>
        <w:ind w:firstLine="720"/>
      </w:pPr>
      <w:r>
        <w:rPr>
          <w:bCs/>
          <w:rFonts w:ascii="Times New Roman" w:hAnsi="Times New Roman" w:eastAsia="Times New Roman" w:cs="Times New Roman"/>
          <w:b/>
          <w:sz w:val="24"/>
        </w:rPr>
        <w:t xml:space="preserve">B. The condition never specifies what monitoring actually consists of, and Mr. Bernecky should not be subjected to blanket surveillance of every word he types simply because no one ever wrote down anything narrower.</w:t>
      </w:r>
    </w:p>
    <w:p>
      <w:pPr>
        <w:pStyle w:val="BodyText"/>
        <w:spacing w:line="480" w:lineRule="auto" w:before="0" w:after="0"/>
        <w:ind w:firstLine="720"/>
      </w:pPr>
      <w:r>
        <w:rPr>
          <w:rFonts w:ascii="Times New Roman" w:hAnsi="Times New Roman" w:eastAsia="Times New Roman" w:cs="Times New Roman"/>
          <w:sz w:val="24"/>
        </w:rPr>
        <w:t xml:space="preserve">Nothing in Special Condition (a) says how CIMP monitoring will actually be carried out. Left blank, that gap gets filled by whatever Probation’s standard practice happens to be, and the record here already supplies an answer: Mr. Bernecky’s previous term of supervision imposed a materially similar condition, and its administration resulted in continuous keystroke logging, capturing everything he typed on every covered device. Upon information and belief, he expects the same here. Keystroke logging is not one option among several; it is the most extreme point on the spectrum of available monitoring methods, a wholesale, content-blind capture rather than any kind of targeted review.</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United States v. Lifshitz</w:t>
      </w:r>
      <w:r>
        <w:rPr>
          <w:rFonts w:ascii="Times New Roman" w:hAnsi="Times New Roman" w:eastAsia="Times New Roman" w:cs="Times New Roman"/>
          <w:sz w:val="24"/>
        </w:rPr>
        <w:t xml:space="preserve">, 369 F.3d 173, 192-93 &amp; n.11 (2d Cir. 2004) (comparing unfiltered monitoring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searching a defendant’s diary,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identifying keyword- or phrase-triggered review as a narrower alternative). Mr. Bernecky submits that defaulting to that extreme is unnecessary, and that the choice belongs to the Court in the first instance, not to Probation’s own administrative practice.</w:t>
      </w:r>
    </w:p>
    <w:p>
      <w:pPr>
        <w:pStyle w:val="BodyText"/>
        <w:spacing w:line="480" w:lineRule="auto" w:before="0" w:after="0"/>
        <w:ind w:firstLine="720"/>
      </w:pPr>
      <w:r>
        <w:rPr>
          <w:rFonts w:ascii="Times New Roman" w:hAnsi="Times New Roman" w:eastAsia="Times New Roman" w:cs="Times New Roman"/>
          <w:sz w:val="24"/>
        </w:rPr>
        <w:t xml:space="preserve">Arguably the most important of the reasons the choice matters is privilege — protecting the various privileges that survive a conviction. Keystroke logging cannot distinguish an ordinary message from the kinds of communication the law has long protected as confidential: a conversation with an attorney,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oldest of the privileges for confidential communications known to the common law,</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Upjohn Co. v. United States</w:t>
      </w:r>
      <w:r>
        <w:rPr>
          <w:rFonts w:ascii="Times New Roman" w:hAnsi="Times New Roman" w:eastAsia="Times New Roman" w:cs="Times New Roman"/>
          <w:sz w:val="24"/>
        </w:rPr>
        <w:t xml:space="preserve">, 449 U.S. 383, 389 (1981); a confession to a member of the clergy, made in a spiritual capacity with a reasonable expectation of confidence,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In re Grand Jury Investigation</w:t>
      </w:r>
      <w:r>
        <w:rPr>
          <w:rFonts w:ascii="Times New Roman" w:hAnsi="Times New Roman" w:eastAsia="Times New Roman" w:cs="Times New Roman"/>
          <w:sz w:val="24"/>
        </w:rPr>
        <w:t xml:space="preserve">, 918 F.2d 374, 384 (3d Cir. 1990); a session with a psychotherapist, protected under Federal Rule of Evidence 501 because candid treatment depends on confidentiality,</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Jaffee v. Redmond</w:t>
      </w:r>
      <w:r>
        <w:rPr>
          <w:rFonts w:ascii="Times New Roman" w:hAnsi="Times New Roman" w:eastAsia="Times New Roman" w:cs="Times New Roman"/>
          <w:sz w:val="24"/>
        </w:rPr>
        <w:t xml:space="preserve">, 518 U.S. 1, 10-15 (1996); and a private communication between spouses, protected independently of any privilege against adverse testimony,</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Blau v. United States</w:t>
      </w:r>
      <w:r>
        <w:rPr>
          <w:rFonts w:ascii="Times New Roman" w:hAnsi="Times New Roman" w:eastAsia="Times New Roman" w:cs="Times New Roman"/>
          <w:sz w:val="24"/>
        </w:rPr>
        <w:t xml:space="preserve">, 340 U.S. 332 (1951);</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Trammel v. United States</w:t>
      </w:r>
      <w:r>
        <w:rPr>
          <w:rFonts w:ascii="Times New Roman" w:hAnsi="Times New Roman" w:eastAsia="Times New Roman" w:cs="Times New Roman"/>
          <w:sz w:val="24"/>
        </w:rPr>
        <w:t xml:space="preserve">, 445 U.S. 40, 51 (1980) — just to name a few examples. Keystroke logging captures every one of these along with everything else, before anyone has any chance to sort privileged material from anything at all. Special Condition (a) already promises that monitoring will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avoid, as much as possible, reading any privileged information or any private material that is not illegal,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Kunz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has held that promise to be a real, enforceable limit on Probation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constrain[ing] the supervisors in their surveillance . . . by requiring them not to abuse their power and access,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not empty language. 68 F.4th at 766-67. A method that records everything cannot keep that promise; there is nothing left to avoid once everything has already been captured.</w:t>
      </w:r>
    </w:p>
    <w:p>
      <w:pPr>
        <w:pStyle w:val="BodyText"/>
        <w:spacing w:line="480" w:lineRule="auto" w:before="0" w:after="0"/>
        <w:ind w:firstLine="720"/>
      </w:pPr>
      <w:r>
        <w:rPr>
          <w:rFonts w:ascii="Times New Roman" w:hAnsi="Times New Roman" w:eastAsia="Times New Roman" w:cs="Times New Roman"/>
          <w:sz w:val="24"/>
        </w:rPr>
        <w:t xml:space="preserve">Formal privilege is not the only zone of private life keystroke logging would reach. A diary, a private draft of a memoir Mr. Bernecky might one day want to publish, research into buying a few shares of Tesla stock, or a running, unsent complaint about his own probation officer are not privileged in the technical sense, but they are not the target of any supervisory interest CIMP is meant to serve either, and Mr. Bernecky should not have to give up ordinary private thought and expression simply because a computer happens to be where he keeps it. The Supreme Court has already recognized what that loss looks like at the scale a modern device makes possible: unlike anything a person could once have carried by hand, a phone or computer today holds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sum of an individual’s private life,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reconstructed not from a photograph or two but from everything a person has written, searched, or kept — a volume of personal material that, before devices like these existed,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most people cannot lug around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all.</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Riley v. California</w:t>
      </w:r>
      <w:r>
        <w:rPr>
          <w:rFonts w:ascii="Times New Roman" w:hAnsi="Times New Roman" w:eastAsia="Times New Roman" w:cs="Times New Roman"/>
          <w:sz w:val="24"/>
        </w:rPr>
        <w:t xml:space="preserve">, 573 U.S. 373, 393-97 (2014). Keystroke logging does not merely risk capturing privileged communications; it captures everything else too, indiscriminately, at a volume no era before this one would have found searchable in the first place.</w:t>
      </w:r>
    </w:p>
    <w:p>
      <w:pPr>
        <w:pStyle w:val="BodyText"/>
        <w:spacing w:line="480" w:lineRule="auto" w:before="0" w:after="0"/>
        <w:ind w:firstLine="720"/>
      </w:pPr>
      <w:r>
        <w:rPr>
          <w:rFonts w:ascii="Times New Roman" w:hAnsi="Times New Roman" w:eastAsia="Times New Roman" w:cs="Times New Roman"/>
          <w:sz w:val="24"/>
        </w:rPr>
        <w:t xml:space="preserve">Nor does Mr. Bernecky’s own offense call for going that far. He was convicted of possessing images, not of anything involving written communication, and the Second Circuit has already approved considerably narrower tools for this exact category of offense: a restriction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limited to pornography sites and images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Sofsky</w:t>
      </w:r>
      <w:r>
        <w:rPr>
          <w:rFonts w:ascii="Times New Roman" w:hAnsi="Times New Roman" w:eastAsia="Times New Roman" w:cs="Times New Roman"/>
          <w:sz w:val="24"/>
        </w:rPr>
        <w:t xml:space="preserve">, 287 F.3d 122, 126-27 (2d Cir. 2002), and the keyword-triggered alternative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Lifshitz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itself identified, rather than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recording all varieties of computer-related activity.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369 F.3d at 193 n.11. Nothing about an image-possession offense calls for capturing every word a person types, any more than it would call for recording every conversation in his home.</w:t>
      </w:r>
    </w:p>
    <w:p>
      <w:pPr>
        <w:pStyle w:val="BodyText"/>
        <w:spacing w:line="480" w:lineRule="auto" w:before="0" w:after="0"/>
        <w:ind w:firstLine="720"/>
      </w:pPr>
      <w:r>
        <w:rPr>
          <w:rFonts w:ascii="Times New Roman" w:hAnsi="Times New Roman" w:eastAsia="Times New Roman" w:cs="Times New Roman"/>
          <w:sz w:val="24"/>
        </w:rPr>
        <w:t xml:space="preserve">None of this means Mr. Bernecky should go unmonitored. This is his second sex-offense-related conviction, and he agrees that his computer use warrants real supervision. What he asks for is that the supervision be pointed at the actual risk: WDNY’s own CIMP vendor, IPPC Technologies, already sells a periodic, non-continuous review tool called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Express Scan,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Mr. Bernecky offers to submit to it, configured specifically to flag image content, search terms, and other material relevant to child pornography — not to log everything he types regardless of subject.</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specifying that Special Condition (a)’s monitoring method will be IPPC’s Express Scan, or an equivalent periodic, non-continuous tool, configured to flag image content, search terms, and other material relevant to child pornography, in place of continuous keystroke capture; or, if that configuration is not administratively available, any other method that does not sweep in privileged or non-image material — domain review, file-type filtering, image-hash scanning, or the keyword-triggered approach</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Lifshitz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already identifies.</w:t>
      </w:r>
    </w:p>
    <w:p>
      <w:pPr>
        <w:pStyle w:val="BodyText"/>
        <w:spacing w:line="480" w:lineRule="auto" w:before="0" w:after="0"/>
        <w:ind w:firstLine="720"/>
      </w:pPr>
      <w:r>
        <w:rPr>
          <w:bCs/>
          <w:rFonts w:ascii="Times New Roman" w:hAnsi="Times New Roman" w:eastAsia="Times New Roman" w:cs="Times New Roman"/>
          <w:b/>
          <w:sz w:val="24"/>
        </w:rPr>
        <w:t xml:space="preserve">C. Since Mr. Bernecky’s 2018 sentencing, the words</w:t>
      </w:r>
      <w:r>
        <w:rPr>
          <w:bCs/>
          <w:rFonts w:ascii="Times New Roman" w:hAnsi="Times New Roman" w:eastAsia="Times New Roman" w:cs="Times New Roman"/>
          <w:b/>
          <w:sz w:val="24"/>
        </w:rPr>
        <w:t xml:space="preserve"> </w:t>
      </w:r>
      <w:r>
        <w:rPr>
          <w:bCs/>
          <w:rFonts w:ascii="Times New Roman" w:hAnsi="Times New Roman" w:eastAsia="Times New Roman" w:cs="Times New Roman"/>
          <w:b/>
          <w:sz w:val="24"/>
        </w:rPr>
        <w:t xml:space="preserve">“</w:t>
      </w:r>
      <w:r>
        <w:rPr>
          <w:bCs/>
          <w:rFonts w:ascii="Times New Roman" w:hAnsi="Times New Roman" w:eastAsia="Times New Roman" w:cs="Times New Roman"/>
          <w:b/>
          <w:sz w:val="24"/>
        </w:rPr>
        <w:t xml:space="preserve">operated</w:t>
      </w:r>
      <w:r>
        <w:rPr>
          <w:bCs/>
          <w:rFonts w:ascii="Times New Roman" w:hAnsi="Times New Roman" w:eastAsia="Times New Roman" w:cs="Times New Roman"/>
          <w:b/>
          <w:sz w:val="24"/>
        </w:rPr>
        <w:t xml:space="preserve">”</w:t>
      </w:r>
      <w:r>
        <w:rPr>
          <w:bCs/>
          <w:rFonts w:ascii="Times New Roman" w:hAnsi="Times New Roman" w:eastAsia="Times New Roman" w:cs="Times New Roman"/>
          <w:b/>
          <w:sz w:val="24"/>
        </w:rPr>
        <w:t xml:space="preserve"> </w:t>
      </w:r>
      <w:r>
        <w:rPr>
          <w:bCs/>
          <w:rFonts w:ascii="Times New Roman" w:hAnsi="Times New Roman" w:eastAsia="Times New Roman" w:cs="Times New Roman"/>
          <w:b/>
          <w:sz w:val="24"/>
        </w:rPr>
        <w:t xml:space="preserve">and</w:t>
      </w:r>
      <w:r>
        <w:rPr>
          <w:bCs/>
          <w:rFonts w:ascii="Times New Roman" w:hAnsi="Times New Roman" w:eastAsia="Times New Roman" w:cs="Times New Roman"/>
          <w:b/>
          <w:sz w:val="24"/>
        </w:rPr>
        <w:t xml:space="preserve"> </w:t>
      </w:r>
      <w:r>
        <w:rPr>
          <w:bCs/>
          <w:rFonts w:ascii="Times New Roman" w:hAnsi="Times New Roman" w:eastAsia="Times New Roman" w:cs="Times New Roman"/>
          <w:b/>
          <w:sz w:val="24"/>
        </w:rPr>
        <w:t xml:space="preserve">“</w:t>
      </w:r>
      <w:r>
        <w:rPr>
          <w:bCs/>
          <w:rFonts w:ascii="Times New Roman" w:hAnsi="Times New Roman" w:eastAsia="Times New Roman" w:cs="Times New Roman"/>
          <w:b/>
          <w:sz w:val="24"/>
        </w:rPr>
        <w:t xml:space="preserve">used</w:t>
      </w:r>
      <w:r>
        <w:rPr>
          <w:bCs/>
          <w:rFonts w:ascii="Times New Roman" w:hAnsi="Times New Roman" w:eastAsia="Times New Roman" w:cs="Times New Roman"/>
          <w:b/>
          <w:sz w:val="24"/>
        </w:rPr>
        <w:t xml:space="preserve">”</w:t>
      </w:r>
      <w:r>
        <w:rPr>
          <w:bCs/>
          <w:rFonts w:ascii="Times New Roman" w:hAnsi="Times New Roman" w:eastAsia="Times New Roman" w:cs="Times New Roman"/>
          <w:b/>
          <w:sz w:val="24"/>
        </w:rPr>
        <w:t xml:space="preserve"> </w:t>
      </w:r>
      <w:r>
        <w:rPr>
          <w:bCs/>
          <w:rFonts w:ascii="Times New Roman" w:hAnsi="Times New Roman" w:eastAsia="Times New Roman" w:cs="Times New Roman"/>
          <w:b/>
          <w:sz w:val="24"/>
        </w:rPr>
        <w:t xml:space="preserve">have become untenable measures of whose devices this condition reaches, and should be struck in favor of the ownership standard the condition already uses elsewhere.</w:t>
      </w:r>
    </w:p>
    <w:p>
      <w:pPr>
        <w:pStyle w:val="BodyText"/>
        <w:spacing w:line="480" w:lineRule="auto" w:before="0" w:after="0"/>
        <w:ind w:firstLine="720"/>
      </w:pPr>
      <w:r>
        <w:rPr>
          <w:rFonts w:ascii="Times New Roman" w:hAnsi="Times New Roman" w:eastAsia="Times New Roman" w:cs="Times New Roman"/>
          <w:sz w:val="24"/>
        </w:rPr>
        <w:t xml:space="preserve">The condition ties its two most intrusive authorizations to a verb other than ownership: Probation may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surveil all activity on computer(s) or connected device(s) owned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or operated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by the defendant,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may conduct unannounced examinations of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any computer equipment owned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or used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by the defendant.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2018,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may have read as harmless synonyms for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owned.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They do not read that way today. The years since Mr. Bernecky’s sentencing have moved ordinary life from an internet-access world — a defendant sits down at a computer he owns and connects it to the internet — to an internet-of-things world, in which most of what a person interacts with over the course of an ordinary day is itself a networked computer. Federal law’s own definition of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computer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shows how far that shift has gone: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an electronic, magnetic, optical, electrochemical, or other high speed data processing device performing logical, arithmetic, or storage functions.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18 U.S.C. § 1030(e)(1) (Computer Fraud and Abuse Act). Read against that definition, and untethered from ownership,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sweep in a public library’s computer terminal, a store’s self-checkout kiosk, a bank’s ATM, and a car’s onboard entertainment and navigation system — every one of them a device Mr. Bernecky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uses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ordinary sense of that word, and none of them a device the condition’s drafters could plausibly have meant to place under CIMP surveillance.</w:t>
      </w:r>
    </w:p>
    <w:p>
      <w:pPr>
        <w:pStyle w:val="BodyText"/>
        <w:spacing w:line="480" w:lineRule="auto" w:before="0" w:after="0"/>
        <w:ind w:firstLine="720"/>
      </w:pPr>
      <w:r>
        <w:rPr>
          <w:iCs/>
          <w:rFonts w:ascii="Times New Roman" w:hAnsi="Times New Roman" w:eastAsia="Times New Roman" w:cs="Times New Roman"/>
          <w:i/>
          <w:sz w:val="24"/>
        </w:rPr>
        <w:t xml:space="preserve">Kunz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confirms that this Court is willing to read CIMP’s boilerplate sensibly rather than literally when a literal reading would sweep too far — but the facts there were far milder than these. The question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Kunz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was whether an encryption-related clause required pre-approval every time a supervisee visited an ordinary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https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site or sent an encrypted message; no one had actually treated that reading as live, and the court needed only say so. 68 F.4th at 764-65. Mr. Bernecky is not asking the Court to head off a hypothetical misreading. The reading he is up against has already been treated as live: an employer worried enough about what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might require of its own systems to withhold his job for two weeks, and Probation resolved the question only through an improvised, unwritten understanding, not through any settled interpretation of the condition’s actual text. An interpretive canon that depends on everyone recognizing the same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obvious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meaning does not solve a problem that has already produced a real, live dispute over what that meaning is. That is why the fix Mr. Bernecky requests is to strike the words, not to ask the Court to bless a narrower reading of them and hope the next employer reads it the same way. Other circuits have long recognized that some device-scope boundary is necessary.</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Ullman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drew that boundary at internet access itself, treating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devices without Internet access, such as gaming systems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outside a comparable condition’s reach. No. 14-1414, 2015 WL 3559221 (10th Cir. June 8, 2015). That particular boundary no longer does useful work: gaming systems, medical devices, home appliances, and cars are now routinely internet-connected, so a line drawn at internet access alone would exempt almost nothing. The boundary that still does useful work is the one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Kunz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itself points to — capability to access, search for, or display child pornography specifically, not connectivity in the abstract. A modern smart television illustrates the difference precisely: it connects to the internet to deliver services like Netflix and Apple TV, often without any web browser at all, and no one could seriously argue that Netflix is airing illegal child pornography, or that a device built only to stream it presents the risk CIMP exists to manage. The word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operate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plainly reaches any system Mr. Bernecky might interact with in public — a self-checkout kiosk, a car equipped with OnStar, FordPass Connect, or comparable telematics, and countless other everyday devices — not just the private setting in which child pornography is actually accessed in the typical case, and in his own.</w:t>
      </w:r>
    </w:p>
    <w:p>
      <w:pPr>
        <w:pStyle w:val="BodyText"/>
        <w:spacing w:line="480" w:lineRule="auto" w:before="0" w:after="0"/>
        <w:ind w:firstLine="720"/>
      </w:pPr>
      <w:r>
        <w:rPr>
          <w:rFonts w:ascii="Times New Roman" w:hAnsi="Times New Roman" w:eastAsia="Times New Roman" w:cs="Times New Roman"/>
          <w:sz w:val="24"/>
        </w:rPr>
        <w:t xml:space="preserve">Rather than ask the Court to police that boundary case by case, Mr. Bernecky proposes a cleaner fix: strike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or 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or 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the condition’s device-scope clauses, leaving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owned by the defendant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the operative standard — exactly the word the condition already uses elsewhere without difficulty. In exchange, Mr. Bernecky proposes a targeted provision addressing the actual risk an ownership-only standard might otherwise leave open, one precise enough not to reintroduce the same overbreadth in a different form. A prohibition on using any device merely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capable of</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accessing child pornography would do exactly that: a library terminal, a self-checkout kiosk, even the PACER terminal at the courthouse itself — the only free way to review federal court records — are all technically capable of displaying an illegal image if someone chose to misuse them that way. The line that actually distinguishes a real circumvention risk from ordinary public infrastructure is personal, private possession, not momentary public use: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With the exception of employer devices necessary for work performance, the defendant shall not personally and privately possess any smart cell phone, laptop, desktop computer, tablet, or other device capable of connecting to the internet and displaying images of child pornography.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reaches what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were likely meant to reach in the first place — a borrowed device standing in for one Mr. Bernecky does not himself own — without also reaching a library computer, a self-checkout kiosk, an ATM, or a courthouse terminal no one could seriously call an extension of his own private life. Employer systems, with the exception already discussed above, are unaffected.</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striking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or 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or 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Special Condition (a)’s device-scope clauses, leaving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owned by the defendant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the operative standard, together with the following provision: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With the exception of employer devices necessary for work performance, the defendant shall not personally and privately possess any smart cell phone, laptop, desktop computer, tablet, or other device capable of connecting to the internet and displaying images of child pornography.</w:t>
      </w:r>
      <w:r>
        <w:rPr>
          <w:rFonts w:ascii="Times New Roman" w:hAnsi="Times New Roman" w:eastAsia="Times New Roman" w:cs="Times New Roman"/>
          <w:sz w:val="24"/>
        </w:rPr>
        <w:t xml:space="preserve">”</w:t>
      </w:r>
    </w:p>
    <w:bookmarkEnd w:id="24"/>
    <w:bookmarkStart w:id="25" w:name="Xfacb8e76bc01785852bc257ea3b92f9def51338"/>
    <w:p>
      <w:pPr>
        <w:pStyle w:val="Heading3"/>
        <w:spacing w:line="480" w:lineRule="auto" w:before="0" w:after="0"/>
      </w:pPr>
      <w:r>
        <w:rPr>
          <w:rFonts w:ascii="Times New Roman" w:hAnsi="Times New Roman" w:eastAsia="Times New Roman" w:cs="Times New Roman"/>
          <w:sz w:val="24"/>
        </w:rPr>
        <w:t xml:space="preserve">II. Special Conditions (b) and (h) — Treatment Provider Rules</w:t>
      </w:r>
    </w:p>
    <w:p>
      <w:pPr>
        <w:pStyle w:val="FirstParagraph"/>
        <w:spacing w:line="480" w:lineRule="auto" w:before="0" w:after="0"/>
        <w:ind w:firstLine="720"/>
      </w:pPr>
      <w:r>
        <w:rPr>
          <w:rFonts w:ascii="Times New Roman" w:hAnsi="Times New Roman" w:eastAsia="Times New Roman" w:cs="Times New Roman"/>
          <w:sz w:val="24"/>
        </w:rPr>
        <w:t xml:space="preserve">Once supervision begins, Special Condition (b) will require Mr. Bernecky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follow the rules and regulations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a sex-offense-specific treatment program, and Special Condition (h) will separately place him in a mental health treatment program supervised the same way. The danger that text leaves unaddressed is not simply that a provider’s rule might exceed what this Court itself ordered — Browder already establishes that it cannot. The danger is what currently stands between Mr. Bernecky and a violation report the moment he says so. Nothing in Special Condition (b) stops a probation officer from filing a violation report the instant Mr. Bernecky objects to a provider’s rule, or the instant a provider terminates him for refusing to accept one, leaving him to vindicate the point only through a revocation proceeding — detention, litigation, and the risk of a new sentence — before anyone with authority to decide the question agrees he was right. To be clear about what this Part does and does not address: it does not ask the Court to police Probation’s broader practice of treating every termination from, or every complaint by, a treatment provider as if it were automatically a violation. It addresses the narrower and sharper problem of what happens when a provider’s own rule purports to condition Mr. Bernecky’s liberty beyond what this Court’s Judgment actually authorizes, and he says so.</w:t>
      </w:r>
    </w:p>
    <w:p>
      <w:pPr>
        <w:pStyle w:val="BodyText"/>
        <w:spacing w:line="480" w:lineRule="auto" w:before="0" w:after="0"/>
        <w:ind w:firstLine="720"/>
      </w:pPr>
      <w:r>
        <w:rPr>
          <w:iCs/>
          <w:rFonts w:ascii="Times New Roman" w:hAnsi="Times New Roman" w:eastAsia="Times New Roman" w:cs="Times New Roman"/>
          <w:i/>
          <w:sz w:val="24"/>
        </w:rPr>
        <w:t xml:space="preserve">United States v. Browder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shows exactly what that costs a defendant who says so. Browder’s treatment provider required him to sign an agreement barring contact with</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any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minor, including his own children, even though his actual sentence specifically excluded his own children from that restriction. Browder objected in writing and did not sign. His probation officer sought a violation anyway — without first confirming she had even read Browder’s written objection — and Browder was detained and found, by the district court, to have violated his conditions by a preponderance of the evidence. 866 F.3d at 507-08, 513-14. It took a full appeal to undo that result. The Second Circuit held that the treatment provider’s rule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would contradict, rather than execute,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Browder’s actual sentence, and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Probation Office was plainly without power to impose it.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514. The court was direct about what had gone wrong: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key question is not whether permission, if sought, would be granted; it is whether Browder can be required, by the Probation Office or its designee, to ask in the first place.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Browder did exactly what a defendant in his position should be able to do — he objected in writing rather than simply violating the rule outright — and it did not spare him a revocation proceeding, a detention, or a violation finding. Only a full appeal did, with the Second Circuit confirming what should have been true from the start: Browder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was therefore well within his rights to object to that term of the agreement.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866 F.3d at 513.</w:t>
      </w:r>
    </w:p>
    <w:p>
      <w:pPr>
        <w:pStyle w:val="BodyText"/>
        <w:spacing w:line="480" w:lineRule="auto" w:before="0" w:after="0"/>
        <w:ind w:firstLine="720"/>
      </w:pPr>
      <w:r>
        <w:rPr>
          <w:rFonts w:ascii="Times New Roman" w:hAnsi="Times New Roman" w:eastAsia="Times New Roman" w:cs="Times New Roman"/>
          <w:sz w:val="24"/>
        </w:rPr>
        <w:t xml:space="preserve">The drafters of Rule 32.1 anticipated exactly this problem, and answered it the same way Mr. Bernecky now asks this Court to. The Advisory Committee’s note explains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probationer should be able to obtain resolution of a dispute over an ambiguous term or the meaning of a condition without first having to violate it,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precisely because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in cases of neglect, overwork, or simply unreasonableness on the part of the probation officer, the probationer should have recourse to the sentencing court when a condition needs clarification or modification.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Fed. R. Crim. P. 32.1 advisory committee’s note to subdivision (b) (1979). Browder is what happens when that recourse exists in theory but not in the procedure actually available to a defendant: he did precisely what the Advisory Committee said a probationer should be able to do, and it still took an appeal — not a request to his own sentencing court made before the fact — to establish that he had been right all along.</w:t>
      </w:r>
    </w:p>
    <w:p>
      <w:pPr>
        <w:pStyle w:val="BodyText"/>
        <w:spacing w:line="480" w:lineRule="auto" w:before="0" w:after="0"/>
        <w:ind w:firstLine="720"/>
      </w:pPr>
      <w:r>
        <w:rPr>
          <w:rFonts w:ascii="Times New Roman" w:hAnsi="Times New Roman" w:eastAsia="Times New Roman" w:cs="Times New Roman"/>
          <w:sz w:val="24"/>
        </w:rPr>
        <w:t xml:space="preserve">Special Condition (h) creates the identical exposure for Mr. Bernecky’s separately ordered mental health treatment, and nothing about Browder’s reasoning turns on which kind of treatment provider is involved. Special Condition (h) uses the same structure as Special Condition (b): the probation officer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supervise[s] the details of any testing and treatment, including the selection of a provider and schedule,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Mr. Bernecky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is not to leave such treatment until completion or as ordered by the Court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language that tracks, almost word for word, Special Condition (b)’s own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to leave treatment until complete or as ordered by the Court.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mental health provider is no more entitled than a sex-offense-specific treatment provider to impose a rule this Court never ordered, and a mental health provider’s own decision to terminate Mr. Bernecky is no more capable, by itself, of supporting a violation finding than the sex-offense-specific provider’s decision was in Browder itself. The same procedure requested below should apply equally to Special Condition (h).</w:t>
      </w:r>
    </w:p>
    <w:p>
      <w:pPr>
        <w:pStyle w:val="BodyText"/>
        <w:spacing w:line="480" w:lineRule="auto" w:before="0" w:after="0"/>
        <w:ind w:firstLine="720"/>
      </w:pPr>
      <w:r>
        <w:rPr>
          <w:rFonts w:ascii="Times New Roman" w:hAnsi="Times New Roman" w:eastAsia="Times New Roman" w:cs="Times New Roman"/>
          <w:sz w:val="24"/>
        </w:rPr>
        <w:t xml:space="preserve">Mr. Bernecky asks the Court to make that recourse real for him, before supervision begins, rather than leave him to discover only after a violation report has already been filed that Rule 32.1’s own drafters meant to spare him exactly that. He requests the right to object in writing to his probation officer to any rule imposed by a provider under Special Condition (b) or (h), or any application of such a rule, that he believes conditions his liberty beyond what this Court’s Judgment authorizes, as it now stands or as later modified; and, if the probation officer overrules that objection, the right to seek this Court’s clarification before any violation report is filed on that basis. This does not ask the Court to compel any provider to continue treating a defendant who will not voluntarily accept a rule beyond what the Judgment requires — a provider remains free to terminate treatment on that basis. It asks only that a timely, written objection made under this procedure keep that termination from being treated, by itself, as a violation of supervised release. If a provider terminates Mr. Bernecky specifically because he made such a timely, written objection, that termination cannot be used to violate him, and the Probation Office must instead make other arrangements for his treatment — the choice to terminate was the provider’s own, made in response to a rule this Court never authorized, and cannot be converted into Mr. Bernecky’s own failure to comply with anything this Court actually ordered. Mr. Bernecky should not be forced to choose between accepting a restriction this Court never ordered and risking exactly what happened to Browder.</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II: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providing that, where Mr. Bernecky believes a rule imposed by a provider under Special Condition (b) or (h), or a provider’s application of such a rule, conditions his liberty beyond what this Court’s Judgment authorizes, he may object in writing to his probation officer; that he may seek this Court’s clarification if the probation officer overrules that objection; that no violation report may be filed, and no violation of supervision found, based solely on a provider’s termination of Mr. Bernecky following a timely written objection made under this procedure; and that where a provider terminates Mr. Bernecky on that basis, the Probation Office must make other arrangements for his treatment rather than treat the resulting absence of treatment as a violation.</w:t>
      </w:r>
    </w:p>
    <w:bookmarkEnd w:id="25"/>
    <w:bookmarkStart w:id="26" w:name="X3894fc90295fff181a1bff2fc6d29133629b8bc"/>
    <w:p>
      <w:pPr>
        <w:pStyle w:val="Heading3"/>
        <w:spacing w:line="480" w:lineRule="auto" w:before="0" w:after="0"/>
      </w:pPr>
      <w:r>
        <w:rPr>
          <w:rFonts w:ascii="Times New Roman" w:hAnsi="Times New Roman" w:eastAsia="Times New Roman" w:cs="Times New Roman"/>
          <w:sz w:val="24"/>
        </w:rPr>
        <w:t xml:space="preserve">III. Special Condition (c) — Contact with Minors and Loitering</w:t>
      </w:r>
    </w:p>
    <w:p>
      <w:pPr>
        <w:pStyle w:val="FirstParagraph"/>
        <w:spacing w:line="480" w:lineRule="auto" w:before="0" w:after="0"/>
        <w:ind w:firstLine="720"/>
      </w:pPr>
      <w:r>
        <w:rPr>
          <w:rFonts w:ascii="Times New Roman" w:hAnsi="Times New Roman" w:eastAsia="Times New Roman" w:cs="Times New Roman"/>
          <w:sz w:val="24"/>
        </w:rPr>
        <w:t xml:space="preserve">Special Condition (c) provides: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defendant shall not have deliberate contact with any child under 18 years of age, excluding his biological or adopted children, unless approved by the probation officer or by the Court.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Mr. Bernecky has no biological or adopted children, so the only category of contact this condition permits without seeking advance approval has never existed for him and never will. Every other contact with a child — including with his own nieces, nephews, or any other minor family member — requires him to seek case-by-case advance permission from Probation or the Court, for the next ten years, before it happens. Three problems follow from that structure, addressed below in order of importance: first, and most serious, it will functionally exclude Mr. Bernecky from ordinary family life; second, the condition draws no line between deliberate contact and the incidental contact no one could reasonably ask him to avoid; third, the condition risks operating as an unauthorized restriction on his choice of occupation.</w:t>
      </w:r>
    </w:p>
    <w:p>
      <w:pPr>
        <w:pStyle w:val="BodyText"/>
        <w:spacing w:line="480" w:lineRule="auto" w:before="0" w:after="0"/>
        <w:ind w:firstLine="720"/>
      </w:pPr>
      <w:r>
        <w:rPr>
          <w:bCs/>
          <w:rFonts w:ascii="Times New Roman" w:hAnsi="Times New Roman" w:eastAsia="Times New Roman" w:cs="Times New Roman"/>
          <w:b/>
          <w:sz w:val="24"/>
        </w:rPr>
        <w:t xml:space="preserve">A. Requiring advance approval before any contact with a minor family member, for the next ten years, will not merely burden Mr. Bernecky’s relationship with one relative — it will functionally exclude him from ordinary family life.</w:t>
      </w:r>
    </w:p>
    <w:p>
      <w:pPr>
        <w:pStyle w:val="BodyText"/>
        <w:spacing w:line="480" w:lineRule="auto" w:before="0" w:after="0"/>
        <w:ind w:firstLine="720"/>
      </w:pPr>
      <w:r>
        <w:rPr>
          <w:rFonts w:ascii="Times New Roman" w:hAnsi="Times New Roman" w:eastAsia="Times New Roman" w:cs="Times New Roman"/>
          <w:sz w:val="24"/>
        </w:rPr>
        <w:t xml:space="preserve">Mr. Bernecky’s sister had children while he was incarcerated. Under this condition, seeing them — at his mother’s house, at a holiday, at any gathering where they might be present — requires him to obtain Probation’s or the Court’s approval in advance, every time, for as long as the condition remains in effect. The Second Circuit has already recognized how untenable that structure is for ordinary family life. Confronting a nearly identical restriction, the court observed that 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would apply with full force to all routine family interaction — for example, Thanksgiving dinners or seders or christenings.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Jenkins</w:t>
      </w:r>
      <w:r>
        <w:rPr>
          <w:rFonts w:ascii="Times New Roman" w:hAnsi="Times New Roman" w:eastAsia="Times New Roman" w:cs="Times New Roman"/>
          <w:sz w:val="24"/>
        </w:rPr>
        <w:t xml:space="preserve">, 854 F.3d 181, 194 (2d Cir. 2017). The same is true here. And where the visit is unannounced — his sister arriving at their mother’s house with her children while Mr. Bernecky happens to be there for coffee — there is no opportunity to seek approval before the contact occurs at all; the condition supplies no mechanism for that scenario except placing him in technical violation the moment he does not immediately leave. Not a single allegation, or even an insinuation, has ever surfaced that Mr. Bernecky is a danger to a minor family member.</w:t>
      </w:r>
    </w:p>
    <w:p>
      <w:pPr>
        <w:pStyle w:val="BodyText"/>
        <w:spacing w:line="480" w:lineRule="auto" w:before="0" w:after="0"/>
        <w:ind w:firstLine="720"/>
      </w:pPr>
      <w:r>
        <w:rPr>
          <w:rFonts w:ascii="Times New Roman" w:hAnsi="Times New Roman" w:eastAsia="Times New Roman" w:cs="Times New Roman"/>
          <w:sz w:val="24"/>
        </w:rPr>
        <w:t xml:space="preserve">An approval mechanism does not cure this problem merely because it exists on paper. The Tenth Circuit rejected exactly that argument when the government raised it against a materially identical restriction. There, the government argued that a condition restricting a defendant’s contact with his own son and other minor male relatives was not overly broad because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it still allows Defendant to have contact with his family with the advance permission of his probation officer.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Lonjose</w:t>
      </w:r>
      <w:r>
        <w:rPr>
          <w:rFonts w:ascii="Times New Roman" w:hAnsi="Times New Roman" w:eastAsia="Times New Roman" w:cs="Times New Roman"/>
          <w:sz w:val="24"/>
        </w:rPr>
        <w:t xml:space="preserve">, 663 F.3d 1292, 1296 (10th Cir. 2011). The court disagreed: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Nor does it lessen the interference that Defendant is entitled to contact with his son if he gets advance permission from his probation officer. While these provisions may allow Defendant to have some contact with his son, there is still an impermissible infringement of Defendant’s ability to freely associate with his family.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1303. An approval requirement is not a substitute for an individualized finding that the restriction is actually necessary — and, as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Lonjose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itself, no such finding as to family contact has ever been made in this case.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Lonjose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arose under the same statute Mr. Bernecky invokes here, § 3583(e)(2): the restriction there was likewise added after the fact, and the Tenth Circuit reversed its imposition and remanded for the condition to be narrowed so that 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reasonably relates to Defendant’s offense.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p>
    <w:p>
      <w:pPr>
        <w:pStyle w:val="BodyText"/>
        <w:spacing w:line="480" w:lineRule="auto" w:before="0" w:after="0"/>
        <w:ind w:firstLine="720"/>
      </w:pPr>
      <w:r>
        <w:rPr>
          <w:rFonts w:ascii="Times New Roman" w:hAnsi="Times New Roman" w:eastAsia="Times New Roman" w:cs="Times New Roman"/>
          <w:sz w:val="24"/>
        </w:rPr>
        <w:t xml:space="preserve">The right to maintain relationships with extended family, not only one’s own children, is constitutionally protected, and this condition’s illusory carve-out sits directly on top of that right. In striking down a housing ordinance that limited occupancy to members of a single nuclear family, the Supreme Court held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what a reasonable and sensitive judgment must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recognize is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certain interests require particularly careful scrutiny of the state needs asserted to justify their abridgment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 standard the Court adopted from Justice Harlan’s dissent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Poe v. Ullman</w:t>
      </w:r>
      <w:r>
        <w:rPr>
          <w:rFonts w:ascii="Times New Roman" w:hAnsi="Times New Roman" w:eastAsia="Times New Roman" w:cs="Times New Roman"/>
          <w:sz w:val="24"/>
        </w:rPr>
        <w:t xml:space="preserve">, 367 U.S. 497, 542-43 (1961) (Harlan, J., dissenting), and applied to protect a grandmother’s right to live with her grandson against a law that assumed, as this condition does, that a person’s family is limited to the narrower category of his own children.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Moore v. City of East Cleveland</w:t>
      </w:r>
      <w:r>
        <w:rPr>
          <w:rFonts w:ascii="Times New Roman" w:hAnsi="Times New Roman" w:eastAsia="Times New Roman" w:cs="Times New Roman"/>
          <w:sz w:val="24"/>
        </w:rPr>
        <w:t xml:space="preserve">, 431 U.S. 494, 499, 503 (1977) (plurality opinion). Nothing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Moore</w:t>
      </w:r>
      <w:r>
        <w:rPr>
          <w:rFonts w:ascii="Times New Roman" w:hAnsi="Times New Roman" w:eastAsia="Times New Roman" w:cs="Times New Roman"/>
          <w:sz w:val="24"/>
        </w:rPr>
        <w:t xml:space="preserve">’s reasoning confines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family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that narrower category, and this condition should not either. The interest runs in both directions here. Mr. Bernecky’s parents and his sister have their own liberty interest in their relationships with their grandchildren and children, respectively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perhaps the oldest of the fundamental liberty interests recognized by this Court.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Troxel v. Granville</w:t>
      </w:r>
      <w:r>
        <w:rPr>
          <w:rFonts w:ascii="Times New Roman" w:hAnsi="Times New Roman" w:eastAsia="Times New Roman" w:cs="Times New Roman"/>
          <w:sz w:val="24"/>
        </w:rPr>
        <w:t xml:space="preserve">, 530 U.S. 57, 65 (2000). That interest belongs to them, not to Mr. Bernecky directly, but a condition that makes it impossible for him to be present at an ordinary gathering of his own family, without advance clearance from Probation, burdens their interest as surely as his own.</w:t>
      </w:r>
    </w:p>
    <w:p>
      <w:pPr>
        <w:pStyle w:val="BodyText"/>
        <w:spacing w:line="480" w:lineRule="auto" w:before="0" w:after="0"/>
        <w:ind w:firstLine="720"/>
      </w:pPr>
      <w:r>
        <w:rPr>
          <w:rFonts w:ascii="Times New Roman" w:hAnsi="Times New Roman" w:eastAsia="Times New Roman" w:cs="Times New Roman"/>
          <w:sz w:val="24"/>
        </w:rPr>
        <w:t xml:space="preserve">Courts have made clear that this protection is not limited to a defendant’s own children, and the closest case on point makes exactly that point about grandchildren.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Weiskopf</w:t>
      </w:r>
      <w:r>
        <w:rPr>
          <w:rFonts w:ascii="Times New Roman" w:hAnsi="Times New Roman" w:eastAsia="Times New Roman" w:cs="Times New Roman"/>
          <w:sz w:val="24"/>
        </w:rPr>
        <w:t xml:space="preserve">, 841 F. App’x 304 (2d Cir. 2021) (summary order) — a case arising from this same district — the Second Circuit remanded a condition barring deliberate contact with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any child under 18 years of age, excluding his biological or adopted children, unless approved by the probation officer or by the Court,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materially the same language as Special Condition (c), as applied to the defendant’s own grandchildren, because the district court had made no individualized finding as to them and the defendant had not been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alleged to have posed a danger to his grandchildren.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is Mr. Bernecky’s situation exactly, one generation removed.</w:t>
      </w:r>
    </w:p>
    <w:p>
      <w:pPr>
        <w:pStyle w:val="BodyText"/>
        <w:spacing w:line="480" w:lineRule="auto" w:before="0" w:after="0"/>
        <w:ind w:firstLine="720"/>
      </w:pPr>
      <w:r>
        <w:rPr>
          <w:rFonts w:ascii="Times New Roman" w:hAnsi="Times New Roman" w:eastAsia="Times New Roman" w:cs="Times New Roman"/>
          <w:sz w:val="24"/>
        </w:rPr>
        <w:t xml:space="preserve">The Second Circuit applies exactly this heightened scrutiny more generally to any condition of supervised release that touches familial association. Where a condition implicates a fundamental liberty interest, the sentencing court must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carefully examine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 and find that it involves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 greater deprivation of liberty than is reasonably necessary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and, because the interest here is fundamental, that it is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narrowly tailored to serve a compelling government interest.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Myers</w:t>
      </w:r>
      <w:r>
        <w:rPr>
          <w:rFonts w:ascii="Times New Roman" w:hAnsi="Times New Roman" w:eastAsia="Times New Roman" w:cs="Times New Roman"/>
          <w:sz w:val="24"/>
        </w:rPr>
        <w:t xml:space="preserve">, 426 F.3d 117, 124-26 (2d Cir. 2005) (quoting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Troxel</w:t>
      </w:r>
      <w:r>
        <w:rPr>
          <w:rFonts w:ascii="Times New Roman" w:hAnsi="Times New Roman" w:eastAsia="Times New Roman" w:cs="Times New Roman"/>
          <w:sz w:val="24"/>
        </w:rPr>
        <w:t xml:space="preserve">, 530 U.S. at 65-66, and vacating a special condition restricting a defendant’s contact with his own son because the record did not establish whether the condition was meant to protect the defendant’s son specifically or minors generally, and no finding addressed the question either way). And a district court’s failure to explain why a no-contact-with-minors condition is necessary is error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unless obvious from the record.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Bleau</w:t>
      </w:r>
      <w:r>
        <w:rPr>
          <w:rFonts w:ascii="Times New Roman" w:hAnsi="Times New Roman" w:eastAsia="Times New Roman" w:cs="Times New Roman"/>
          <w:sz w:val="24"/>
        </w:rPr>
        <w:t xml:space="preserve">, 930 F.3d 35, 43 (2d Cir. 2019). Bleau’s own facts are instructive: the Second Circuit found plain error and remanded where the defendant, like Mr. Bernecky, had not been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alleged to have engaged in, or attempted to engage in, inappropriate contact with minors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there, even while he was living in his sister and brother-in-law’s house and had previously worked at an elementary school.</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remand, the district court gave reasons tied to Bleau’s own circumstances, and the condition was affirmed a second time — but only after that individualized assessment actually happened.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Bleau</w:t>
      </w:r>
      <w:r>
        <w:rPr>
          <w:rFonts w:ascii="Times New Roman" w:hAnsi="Times New Roman" w:eastAsia="Times New Roman" w:cs="Times New Roman"/>
          <w:sz w:val="24"/>
        </w:rPr>
        <w:t xml:space="preserve">, No. 19-3931-cr (2d Cir. Feb. 4, 2021) (summary order). No comparable assessment addressing family contact has ever been made in this case, at sentencing or since.</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modifying Special Condition (c) to add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or minor family members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its existing carve-out, so that the condition excludes contact with Mr. Bernecky’s biological or adopted children, or minor family members, from the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 contact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prohibition, without requiring case-by-case advance approval from Probation or the Court.</w:t>
      </w:r>
    </w:p>
    <w:p>
      <w:pPr>
        <w:pStyle w:val="BodyText"/>
        <w:spacing w:line="480" w:lineRule="auto" w:before="0" w:after="0"/>
        <w:ind w:firstLine="720"/>
      </w:pPr>
      <w:r>
        <w:rPr>
          <w:bCs/>
          <w:rFonts w:ascii="Times New Roman" w:hAnsi="Times New Roman" w:eastAsia="Times New Roman" w:cs="Times New Roman"/>
          <w:b/>
          <w:sz w:val="24"/>
        </w:rPr>
        <w:t xml:space="preserve">B. The condition should also make clear that it does not reach the incidental contact that is unavoidable in ordinary public life.</w:t>
      </w:r>
    </w:p>
    <w:p>
      <w:pPr>
        <w:pStyle w:val="BodyText"/>
        <w:spacing w:line="480" w:lineRule="auto" w:before="0" w:after="0"/>
        <w:ind w:firstLine="720"/>
      </w:pPr>
      <w:r>
        <w:rPr>
          <w:rFonts w:ascii="Times New Roman" w:hAnsi="Times New Roman" w:eastAsia="Times New Roman" w:cs="Times New Roman"/>
          <w:sz w:val="24"/>
        </w:rPr>
        <w:t xml:space="preserve">Mr. Bernecky’s concern here is not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 contact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genuinely ambiguous in the abstract. As a matter of appellate law, it likely is not: on the second appeal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Bleau</w:t>
      </w:r>
      <w:r>
        <w:rPr>
          <w:rFonts w:ascii="Times New Roman" w:hAnsi="Times New Roman" w:eastAsia="Times New Roman" w:cs="Times New Roman"/>
          <w:sz w:val="24"/>
        </w:rPr>
        <w:t xml:space="preserve">, the Second Circuit held that a condition barring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direct contact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minors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without pre-approval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unduly restrictive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part because the defendant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is permitted unapproved incidental contact with minors during daily activities in public places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expressly distinguishing that structure from the condition considered and rejected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Jenkins</w:t>
      </w:r>
      <w:r>
        <w:rPr>
          <w:rFonts w:ascii="Times New Roman" w:hAnsi="Times New Roman" w:eastAsia="Times New Roman" w:cs="Times New Roman"/>
          <w:sz w:val="24"/>
        </w:rPr>
        <w:t xml:space="preserve">, which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banned both direct and indirect contact with minors unless supervised by a person approved by the Probation Department,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no such carve-out.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Bleau</w:t>
      </w:r>
      <w:r>
        <w:rPr>
          <w:rFonts w:ascii="Times New Roman" w:hAnsi="Times New Roman" w:eastAsia="Times New Roman" w:cs="Times New Roman"/>
          <w:sz w:val="24"/>
        </w:rPr>
        <w:t xml:space="preserve">, No. 19-3931-cr (2d Cir. Feb. 4, 2021) (summary order) (distinguishing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Jenkins</w:t>
      </w:r>
      <w:r>
        <w:rPr>
          <w:rFonts w:ascii="Times New Roman" w:hAnsi="Times New Roman" w:eastAsia="Times New Roman" w:cs="Times New Roman"/>
          <w:sz w:val="24"/>
        </w:rPr>
        <w:t xml:space="preserve">, 854 F.3d 181, 194-95 (2d Cir. 2017)). Other circuits read comparable language the same way: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associational restrictions are usually read to exclude incidental encounters.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DaSilva</w:t>
      </w:r>
      <w:r>
        <w:rPr>
          <w:rFonts w:ascii="Times New Roman" w:hAnsi="Times New Roman" w:eastAsia="Times New Roman" w:cs="Times New Roman"/>
          <w:sz w:val="24"/>
        </w:rPr>
        <w:t xml:space="preserve">, 844 F.3d 8, 14 (1st Cir. 2016) (quoting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Pabon</w:t>
      </w:r>
      <w:r>
        <w:rPr>
          <w:rFonts w:ascii="Times New Roman" w:hAnsi="Times New Roman" w:eastAsia="Times New Roman" w:cs="Times New Roman"/>
          <w:sz w:val="24"/>
        </w:rPr>
        <w:t xml:space="preserve">, 819 F.3d 26, 35 (1st Cir. 2016)). Special Condition (c) uses the same qualifier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and if this case ever turned on how a court of appeals would read that word, Mr. Bernecky would likely already have his answer.</w:t>
      </w:r>
    </w:p>
    <w:p>
      <w:pPr>
        <w:pStyle w:val="BodyText"/>
        <w:spacing w:line="480" w:lineRule="auto" w:before="0" w:after="0"/>
        <w:ind w:firstLine="720"/>
      </w:pPr>
      <w:r>
        <w:rPr>
          <w:rFonts w:ascii="Times New Roman" w:hAnsi="Times New Roman" w:eastAsia="Times New Roman" w:cs="Times New Roman"/>
          <w:sz w:val="24"/>
        </w:rPr>
        <w:t xml:space="preserve">But that is exactly the problem: it is not the Second Circuit that will read this condition for the next ten years, it is Probation, and Mr. Bernecky already has direct evidence of how Probation reads conditions like this one once they actually apply to him. As Part I above describes, Probation gave two different, shifting, capability-contingent answers about how far Special Condition (a) reaches an employer’s own systems — neither one written down, both broader than the condition’s text plainly requires. And as Part C below describes, Mr. Bernecky was separately told that Special Condition (c) itself would bar him from working anywhere that hires or serves anyone under 18 — a result the procedural posture of this case does not permit: because no § 5F1.5 analysis was ever conducted, no condition in this Judgment can be read to reach his employment. Having already watched Probation read these conditions more broadly than their own words require, Mr. Bernecky has no reason to assume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 contact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will be read narrowly in his case just because the Second Circuit has said so in someone else’s.</w:t>
      </w:r>
    </w:p>
    <w:p>
      <w:pPr>
        <w:pStyle w:val="BodyText"/>
        <w:spacing w:line="480" w:lineRule="auto" w:before="0" w:after="0"/>
        <w:ind w:firstLine="720"/>
      </w:pPr>
      <w:r>
        <w:rPr>
          <w:rFonts w:ascii="Times New Roman" w:hAnsi="Times New Roman" w:eastAsia="Times New Roman" w:cs="Times New Roman"/>
          <w:sz w:val="24"/>
        </w:rPr>
        <w:t xml:space="preserve">The word the condition actually uses is worth taking seriously on its own terms. As an adjective,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means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characterized by or resulting from careful and thorough consideration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characterized by awareness of the consequences.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Deliberate</w:t>
      </w:r>
      <w:r>
        <w:rPr>
          <w:rFonts w:ascii="Times New Roman" w:hAnsi="Times New Roman" w:eastAsia="Times New Roman" w:cs="Times New Roman"/>
          <w:sz w:val="24"/>
        </w:rPr>
        <w:t xml:space="preserve">, Merriam-Webster.com Dictionary, Merriam-Webster, https://www.merriam-webster.com/dictionary/deliberate (accessed July 16, 2026). Neither sense requires bad purpose or any purpose beyond the act itself — Merriam-Webster’s own account of the word’s closest synonyms confirms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 implies full consciousness of the nature of one’s act and its consequences,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standard distinct from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voluntary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(free of external compulsion) 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intentional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(aware of an end to be achieved).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Taken to that natural end,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contact with a child could cover: asking a teenage cashier to ring up a sandwich, telling a teenage grocery bagger to put the bread on top of the bag, or telling a child to stop before he steps into oncoming traffic. Each of those is, under the dictionary definition, deliberate — Mr. Bernecky is fully conscious, in the moment, that he is choosing to speak to a minor — and each is exactly the kind of ordinary, and in the last example urgent, interaction no one could seriously believe this condition was written to prohibit. Mr. Bernecky asks the Court to say so directly, rather than leave him to guess whether Probation will read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way the Second Circuit already has, or the way it has already read two other conditions in this same Judgment.</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clarifying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 contact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does not include incidental, unplanned encounters with minors in the ordinary course of public life.</w:t>
      </w:r>
    </w:p>
    <w:p>
      <w:pPr>
        <w:pStyle w:val="BodyText"/>
        <w:spacing w:line="480" w:lineRule="auto" w:before="0" w:after="0"/>
        <w:ind w:firstLine="720"/>
      </w:pPr>
      <w:r>
        <w:rPr>
          <w:bCs/>
          <w:rFonts w:ascii="Times New Roman" w:hAnsi="Times New Roman" w:eastAsia="Times New Roman" w:cs="Times New Roman"/>
          <w:b/>
          <w:sz w:val="24"/>
        </w:rPr>
        <w:t xml:space="preserve">C. The condition should also be clarified, before supervision begins, to impose no restriction on Mr. Bernecky’s choice of occupation.</w:t>
      </w:r>
    </w:p>
    <w:p>
      <w:pPr>
        <w:pStyle w:val="BodyText"/>
        <w:spacing w:line="480" w:lineRule="auto" w:before="0" w:after="0"/>
        <w:ind w:firstLine="720"/>
      </w:pPr>
      <w:r>
        <w:rPr>
          <w:rFonts w:ascii="Times New Roman" w:hAnsi="Times New Roman" w:eastAsia="Times New Roman" w:cs="Times New Roman"/>
          <w:sz w:val="24"/>
        </w:rPr>
        <w:t xml:space="preserve">The point here is simple. The sentencing court did not impose an occupational restriction and was never asked to: nothing in the record shows any request for, or finding under, U.S.S.G. § 5F1.5(a), the guideline that governs whenever a condition restricts a defendant’s choice of employment, for the same reason set out in Part I.A above — the sentencing court’s own intention is paramount, and the record it left contains no occupational restriction and no § 5F1.5 finding to support one. That procedural posture leads to one conclusion — Special Condition (c) does not restrict Mr. Bernecky’s choice of employer or occupation. But because Mr. Bernecky was separately told, in the course of the same job search described in Part I above, that this condition would preclude him from working anywhere that hires or serves anyone under 18, he asks that this be duly clarified now, before it costs him another job the way a related dispute already nearly did. Mr. Bernecky has never been alleged to have used his employment, at this job or any other, as a means of gaining access to a minor or as a catalyst for any offense, let alone a sex offense; his conduct occurred entirely on devices in his own home, with no occupational element at all.</w:t>
      </w:r>
    </w:p>
    <w:p>
      <w:pPr>
        <w:pStyle w:val="BodyText"/>
        <w:spacing w:line="480" w:lineRule="auto" w:before="0" w:after="0"/>
        <w:ind w:firstLine="720"/>
      </w:pPr>
      <w:r>
        <w:rPr>
          <w:rFonts w:ascii="Times New Roman" w:hAnsi="Times New Roman" w:eastAsia="Times New Roman" w:cs="Times New Roman"/>
          <w:sz w:val="24"/>
        </w:rPr>
        <w:t xml:space="preserve">There is also a forward-looking problem with this reading that has nothing to do with anything Mr. Bernecky himself would do. At any moment, for any reason, Mr. Bernecky’s employer could lawfully hire a sixteen- or seventeen-year-old for any position in the company — federal and New York law both permit it, with no restriction tied to seniority or role. 29 C.F.R. pt. 570, subpt. E (allowing employers to employ minors sixteen or seventeen years of age outside a defined list of hazardous occupations); N.Y. Lab. Law § 132 (same). Under Probation’s stated reading of this condition, that single lawful hiring decision — made by someone else, with no notice to Mr. Bernecky and no way for him to prevent it — would place him in jeopardy of violating his supervision, through no act of his own, at the very moment Standard Condition 7 separately requires him to keep working. A defendant cannot be made to answer for another party’s lawful choice, and a condition that puts his continued liberty at the mercy of it is the opposite of promoting the rehabilitation and successful reintegration supervised release is meant to achieve.</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clarification that Special Condition (c) does not apply to Mr. Bernecky’s employment in any respect.</w:t>
      </w:r>
    </w:p>
    <w:bookmarkEnd w:id="26"/>
    <w:bookmarkStart w:id="28" w:name="X9cb4b6b6f321eb0585231b8e6af5c769f409b05"/>
    <w:p>
      <w:pPr>
        <w:pStyle w:val="Heading3"/>
        <w:spacing w:line="480" w:lineRule="auto" w:before="0" w:after="0"/>
      </w:pPr>
      <w:r>
        <w:rPr>
          <w:rFonts w:ascii="Times New Roman" w:hAnsi="Times New Roman" w:eastAsia="Times New Roman" w:cs="Times New Roman"/>
          <w:sz w:val="24"/>
        </w:rPr>
        <w:t xml:space="preserve">IV. Special Conditions (d) and (i) — Financial Monitoring and Disclosure</w:t>
      </w:r>
    </w:p>
    <w:p>
      <w:pPr>
        <w:pStyle w:val="FirstParagraph"/>
        <w:spacing w:line="480" w:lineRule="auto" w:before="0" w:after="0"/>
        <w:ind w:firstLine="720"/>
      </w:pPr>
      <w:r>
        <w:rPr>
          <w:rFonts w:ascii="Times New Roman" w:hAnsi="Times New Roman" w:eastAsia="Times New Roman" w:cs="Times New Roman"/>
          <w:sz w:val="24"/>
        </w:rPr>
        <w:t xml:space="preserve">Special Condition (d) will require Mr. Bernecky to give Probation access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any requested personal and/or business financial information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monitor his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compliance with not buying or subscribing to online services that provide child pornography.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Special Condition (i) separately requires the same open-ended access, tied instead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collection of any unpaid fine or restitution.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Each condition gives Probation more than its own stated purpose could ever call for, in a different way. Each is addressed in turn below.</w:t>
      </w:r>
    </w:p>
    <w:p>
      <w:pPr>
        <w:pStyle w:val="BodyText"/>
        <w:spacing w:line="480" w:lineRule="auto" w:before="0" w:after="0"/>
        <w:ind w:firstLine="720"/>
      </w:pPr>
      <w:r>
        <w:rPr>
          <w:rFonts w:ascii="Times New Roman" w:hAnsi="Times New Roman" w:eastAsia="Times New Roman" w:cs="Times New Roman"/>
          <w:sz w:val="24"/>
        </w:rPr>
        <w:t xml:space="preserve">No one has ever alleged that Mr. Bernecky purchased child pornography; his conviction is for possession, and nothing in the record suggests his access to it involved payment of any kind. A condition aimed at detecting a purchase has nothing to detect in a record with no purchase in it. But Special Condition (d) does not need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any requested personal and/or business financial information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accomplish what it says it exists to do. If the concern is whether Mr. Bernecky paid for access to child pornography, the records capable of showing that are a specific, identifiable set — credit and debit card statements, PayPal or other electronic fintech transaction records, and cryptocurrency wallet or exchange records — not, for instance, a brokerage account statement, a 401(k) or other retirement account, or any other financial record incapable of showing a payment to a child-pornography vendor. Nor does detecting that kind of payment require anything beyond a vendor’s own name; the condition’s stated purpose is served in full once Mr. Bernecky discloses to whom a payment was made, without any need for the amount, the account number, or any other financial detail beyond that.</w:t>
      </w:r>
    </w:p>
    <w:p>
      <w:pPr>
        <w:pStyle w:val="BodyText"/>
        <w:spacing w:line="480" w:lineRule="auto" w:before="0" w:after="0"/>
        <w:ind w:firstLine="720"/>
      </w:pPr>
      <w:r>
        <w:rPr>
          <w:iCs/>
          <w:rFonts w:ascii="Times New Roman" w:hAnsi="Times New Roman" w:eastAsia="Times New Roman" w:cs="Times New Roman"/>
          <w:i/>
          <w:sz w:val="24"/>
        </w:rPr>
        <w:t xml:space="preserve">United States v. Jenkins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does not map onto this problem perfectly, but its underlying logic still applies. There, the Second Circuit struck down a condition that forbade a child-pornography defendant from incurring any credit card charge or opening any line of credit without the probation officer’s prior approval, holding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[n]othing in the record suggests these restrictions on Jenkins’s use of credit cards are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reasonably necessary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to protect the public or to deter [him] from continuing to engage in the conduct for which he was convicted — possession of child pornography.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854 F.3d 181, 194 (2d Cir. 2017) (quoting 18 U.S.C. § 3563(b)(5)). The court did not mince words about why: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Why Jenkins should be prohibited from buying a drink on an airplane or taking an Uber ride or making a purchase on Amazon unless the transaction is pre-approved by a probation officer cannot be divined from the record we are reviewing.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Special Condition (d) is not a prior-approval requirement of that kind — it requires disclosure, not permission, and Mr. Bernecky does not treat the two as equivalent. But Jenkins’s point survives that distinction: a condition responding to a possession offense with no financial element of its own cannot reach further than what that offense actually gives Probation reason to look for, whether the mechanism is advance approval or after-the-fact disclosure.</w:t>
      </w:r>
    </w:p>
    <w:p>
      <w:pPr>
        <w:pStyle w:val="BodyText"/>
        <w:spacing w:line="480" w:lineRule="auto" w:before="0" w:after="0"/>
        <w:ind w:firstLine="720"/>
      </w:pPr>
      <w:r>
        <w:rPr>
          <w:rFonts w:ascii="Times New Roman" w:hAnsi="Times New Roman" w:eastAsia="Times New Roman" w:cs="Times New Roman"/>
          <w:sz w:val="24"/>
        </w:rPr>
        <w:t xml:space="preserve">Mr. Bernecky raises this now, before supervision begins, so that Special Condition (d)’s proper scope is settled rather than discovered only after an overbroad request has already been made. Probation has not yet made any request under this condition at all, and Mr. Bernecky recognizes the Court may prefer to await an actual request before ruling on the condition’s outer limits.</w:t>
      </w:r>
      <w:r>
        <w:rPr>
          <w:rStyle w:val="FootnoteReference"/>
          <w:rFonts w:ascii="Times New Roman" w:hAnsi="Times New Roman" w:eastAsia="Times New Roman" w:cs="Times New Roman"/>
          <w:sz w:val="24"/>
        </w:rPr>
        <w:footnoteReference w:id="27"/>
      </w:r>
    </w:p>
    <w:p>
      <w:pPr>
        <w:pStyle w:val="BodyText"/>
        <w:spacing w:line="480" w:lineRule="auto" w:before="0" w:after="0"/>
        <w:ind w:firstLine="720"/>
      </w:pPr>
      <w:r>
        <w:rPr>
          <w:rFonts w:ascii="Times New Roman" w:hAnsi="Times New Roman" w:eastAsia="Times New Roman" w:cs="Times New Roman"/>
          <w:sz w:val="24"/>
        </w:rPr>
        <w:t xml:space="preserve">Special Condition (i) presents a different problem. It ties Probation’s access to Mr. Bernecky’s finances, and its control over his assets,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collection of any unpaid fine or restitution.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Mr. Bernecky believes the $500 restitution has already been paid in full. If the record confirms that, the condition has nothing left to collect, and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Lussier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confirms no separate showing of changed circumstances is needed to vacate a condition whose entire stated purpose has already been fulfilled. 104 F.3d at 36. The guideline provision Special Condition (i) implements says the same thing in its own terms: a financial-disclosure condition of this kind is authorized only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if the court imposes an order of restitution, forfeiture, or notice to victims, or orders the defendant to pay a fine,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U.S.S.G. § 5D1.3(d)(3) (2025), and the guideline’s companion debt-obligation condition lifts automatically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unless the defendant is in compliance with the payment schedule.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5D1.3(d)(2). Full payment removes the guideline’s own stated trigger for either condition. The Sentencing Commission’s most recent amendments confirm the point further: courts must now</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conduct an individualized assessment to determine what, if any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discretionary conditions remain warranted,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5D1.3(b)(1), because, in the Commission’s own words, conditions imposed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at original sentencing, often years before the defendant begins supervision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can become conditions that are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 longer appropriate after the defendant’s release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exactly the change Mr. Bernecky asks the Court to recognize here.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5D1.4(a).</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IV:</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(1) clarifying that Special Condition (d) requires disclosure only of the vendor’s name for transactions made by credit card, debit card, PayPal or comparable electronic payment service, or cryptocurrency, and does not extend to the amount of any transaction, any account number, or any other financial record — including brokerage, investment, or retirement account records — incapable of showing a payment to a child-pornography vendor; and (2) vacating Special Condition (i) upon confirmation that the $500 restitution obligation has been paid in full.</w:t>
      </w:r>
    </w:p>
    <w:bookmarkEnd w:id="28"/>
    <w:bookmarkStart w:id="29" w:name="X4ea9991a0e8ec4d5383a9f3cd2b313188e578c0"/>
    <w:p>
      <w:pPr>
        <w:pStyle w:val="Heading3"/>
        <w:spacing w:line="480" w:lineRule="auto" w:before="0" w:after="0"/>
      </w:pPr>
      <w:r>
        <w:rPr>
          <w:rFonts w:ascii="Times New Roman" w:hAnsi="Times New Roman" w:eastAsia="Times New Roman" w:cs="Times New Roman"/>
          <w:sz w:val="24"/>
        </w:rPr>
        <w:t xml:space="preserve">V. Special Condition (e) — Sex Offender Registration and Presentence Report Disclosure</w:t>
      </w:r>
    </w:p>
    <w:p>
      <w:pPr>
        <w:pStyle w:val="FirstParagraph"/>
        <w:spacing w:line="480" w:lineRule="auto" w:before="0" w:after="0"/>
        <w:ind w:firstLine="720"/>
      </w:pPr>
      <w:r>
        <w:rPr>
          <w:rFonts w:ascii="Times New Roman" w:hAnsi="Times New Roman" w:eastAsia="Times New Roman" w:cs="Times New Roman"/>
          <w:sz w:val="24"/>
        </w:rPr>
        <w:t xml:space="preserve">Special Condition (e) is unnecessarily duplicative in part, and falls short of what the law requires before a presentence report may actually be disclosed to a third party. Its registration language repeats an obligation Mandatory Condition 6 already imposes under 34 U.S.C. § 20901</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et seq.</w:t>
      </w:r>
      <w:r>
        <w:rPr>
          <w:rFonts w:ascii="Times New Roman" w:hAnsi="Times New Roman" w:eastAsia="Times New Roman" w:cs="Times New Roman"/>
          <w:sz w:val="24"/>
        </w:rPr>
        <w:t xml:space="preserve">, and does no independent work. Its disclosure language authorizes Probation to give Mr. Bernecky’s presentence report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Report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to the New York State Board of Examiners of Sex Offenders, and further disclosure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to the county court and to the parties involved in the determination of the defendant’s final classification level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 blanket grant made once, at sentencing, rather than the case-specific showing the law requires at the time disclosure is actually sought. Mr. Bernecky asks the Court to strike the condition in full.</w:t>
      </w:r>
    </w:p>
    <w:p>
      <w:pPr>
        <w:pStyle w:val="BodyText"/>
        <w:spacing w:line="480" w:lineRule="auto" w:before="0" w:after="0"/>
        <w:ind w:firstLine="720"/>
      </w:pPr>
      <w:r>
        <w:rPr>
          <w:rFonts w:ascii="Times New Roman" w:hAnsi="Times New Roman" w:eastAsia="Times New Roman" w:cs="Times New Roman"/>
          <w:sz w:val="24"/>
        </w:rPr>
        <w:t xml:space="preserve">This is not a hypothetical problem. Mr. Bernecky has just received notice that his risk-level classification proceeding under the New York Sex Offender Registration Act is approaching, and the plain language of Special Condition (e) authorizes disclosure of the Report to the Board, the county court, and the parties to that proceeding in connection with that determination. This is the specific disclosure the condition names, to the specific body the condition names, in a proceeding now actually before the state, and it requires resolution before, not after, that disclosure happens. Mr. Bernecky has separately moved this Court on an emergency basis to preserve the status quo while this motion is decided.</w:t>
      </w:r>
    </w:p>
    <w:p>
      <w:pPr>
        <w:pStyle w:val="BodyText"/>
        <w:spacing w:line="480" w:lineRule="auto" w:before="0" w:after="0"/>
        <w:ind w:firstLine="720"/>
      </w:pP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Charmer Indus., Inc.</w:t>
      </w:r>
      <w:r>
        <w:rPr>
          <w:rFonts w:ascii="Times New Roman" w:hAnsi="Times New Roman" w:eastAsia="Times New Roman" w:cs="Times New Roman"/>
          <w:sz w:val="24"/>
        </w:rPr>
        <w:t xml:space="preserve">, the Second Circuit considered whether a presentence report prepared for a federal criminal defendant could be disclosed to a state Attorney General for use in a separate state licensing proceeding. 711 F.2d 1164, 1168 (2d Cir. 1983). The district court had approved that disclosure based on the Probation Service’s own view, as an agency with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administrative expertise,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release was appropriate — deference the Second Circuit rejected outright, reversing the denial of an injunction and ordering the report returned.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1168-69, 1176-77. A presentence report, the Second Circuit held,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is a court document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remains under the sentencing court’s control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is to be used by nonjudicial federal agencies and others only with the permission of the court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permission that depends 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most compelling reasons,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shown through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particularized showing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made at the time disclosure is actually sought, a standard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approaching that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required for the release of grand jury materials.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1169-70, 1174-75. Special Condition (e) inverts that sequence entirely: rather than requiring the compelling, particularized showing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demands at the moment disclosure is sought, it supplies blanket, standing permission years in advance, before any classification proceeding existed, addressed to no specific request, and resting on no finding about this proceeding, this Board, or these parties at all. Probation’s own view that disclosure is authorized is precisely the kind of administrative self-authorization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refused to defer to. If a presentence report cannot be released to a single state Attorney General for a single licensing matter without an individualized showing made when disclosure is actually requested, it cannot be released to a state Board, a county court, and an open-ended set of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parties involved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a classification proceeding on the strength of a permission slip signed at sentencing.</w:t>
      </w:r>
    </w:p>
    <w:p>
      <w:pPr>
        <w:pStyle w:val="BodyText"/>
        <w:spacing w:line="480" w:lineRule="auto" w:before="0" w:after="0"/>
        <w:ind w:firstLine="720"/>
      </w:pPr>
      <w:r>
        <w:rPr>
          <w:rFonts w:ascii="Times New Roman" w:hAnsi="Times New Roman" w:eastAsia="Times New Roman" w:cs="Times New Roman"/>
          <w:sz w:val="24"/>
        </w:rPr>
        <w:t xml:space="preserve">Every case applying this standard, including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itself, involved an actual request: a party came to the court and asked for disclosure, and the court evaluated whether that party had shown a compelling, particularized need.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e.g., United States v. Iqbal</w:t>
      </w:r>
      <w:r>
        <w:rPr>
          <w:rFonts w:ascii="Times New Roman" w:hAnsi="Times New Roman" w:eastAsia="Times New Roman" w:cs="Times New Roman"/>
          <w:sz w:val="24"/>
        </w:rPr>
        <w:t xml:space="preserve">, 684 F.3d 507, 509-10 (5th Cir. 2012) (the Department of Homeland Security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sought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district court’s permission, and received only a redacted report confined to one proceeding);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Gomez</w:t>
      </w:r>
      <w:r>
        <w:rPr>
          <w:rFonts w:ascii="Times New Roman" w:hAnsi="Times New Roman" w:eastAsia="Times New Roman" w:cs="Times New Roman"/>
          <w:sz w:val="24"/>
        </w:rPr>
        <w:t xml:space="preserve">, 323 F.3d 1305, 1307 (11th Cir. 2003) (state prosecutors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requested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disclosure of a single, narrow portion of the report after in camera review). This is not a rule unique to the Second Circuit: as recently as 2021, the First Circuit surveyed the courts of appeals and found the identical compelling-need, particularized-showing standard applied across the Second, Third, Fourth, Seventh, Eighth, Ninth, and Eleventh Circuits alike.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Grullon</w:t>
      </w:r>
      <w:r>
        <w:rPr>
          <w:rFonts w:ascii="Times New Roman" w:hAnsi="Times New Roman" w:eastAsia="Times New Roman" w:cs="Times New Roman"/>
          <w:sz w:val="24"/>
        </w:rPr>
        <w:t xml:space="preserve">, 996 F.3d 21, 41 n.17 (1st Cir. 2021) (collecting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w:t>
      </w:r>
      <w:r>
        <w:rPr>
          <w:rFonts w:ascii="Times New Roman" w:hAnsi="Times New Roman" w:eastAsia="Times New Roman" w:cs="Times New Roman"/>
          <w:sz w:val="24"/>
        </w:rPr>
        <w:t xml:space="preserve">, 711 F.2d at 1175, and other circuits’ cases). Special Condition (e) has no request, from anyone, for this Court to evaluate. It authorizes disclosure before the Board, the county court, or any party to a classification proceeding has asked for anything, on the theory that Probation may simply volunteer the Report once a proceeding arises. Nothing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Iqbal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Gomez</w:t>
      </w:r>
      <w:r>
        <w:rPr>
          <w:rFonts w:ascii="Times New Roman" w:hAnsi="Times New Roman" w:eastAsia="Times New Roman" w:cs="Times New Roman"/>
          <w:sz w:val="24"/>
        </w:rPr>
        <w:t xml:space="preserve">, or any case this motion has located contemplates a court granting disclosure that nobody has requested; the entire compelling-need framework presupposes a request for the Court to weigh against confidentiality, and Special Condition (e) dispenses with the request altogether. Upon information and belief — based on Mr. Bernecky’s own exposure, during his incarceration, to the judgments of numerous other individuals convicted of similar offenses from across New York State — this advance disclosure authorization appears unique to this District; he is aware of no comparable provision volunteering a presentence report to the Board of Examiners in the Northern, Eastern, or Southern Districts of New York.</w:t>
      </w:r>
    </w:p>
    <w:p>
      <w:pPr>
        <w:pStyle w:val="BodyText"/>
        <w:spacing w:line="480" w:lineRule="auto" w:before="0" w:after="0"/>
        <w:ind w:firstLine="720"/>
      </w:pPr>
      <w:r>
        <w:rPr>
          <w:rFonts w:ascii="Times New Roman" w:hAnsi="Times New Roman" w:eastAsia="Times New Roman" w:cs="Times New Roman"/>
          <w:sz w:val="24"/>
        </w:rPr>
        <w:t xml:space="preserve">Special Condition (e) also does nothing to confine the Report once it leaves this Court’s hands, and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treated that omission as independently disqualifying. The relief the Second Circuit ordered was not simply a case-specific showing before release; it was an injunction requiring the recipient to return the report and all copies and extracts of it, and prohibiting any further publication or use of any portion not already public.</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1176-77. Special Condition (e) contains none of those safeguards. It does not prohibit the Board, the county court, or any of the open-ended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parties involved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further disseminating the Report beyond their own use. It does not require that any of them be told what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itself took pains to explain, and a more recent circuit has since said even more plainly: a presentence report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may well contain hearsay statements that are not subject to cross-examination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information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bearing no relationship</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the offense,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w:t>
      </w:r>
      <w:r>
        <w:rPr>
          <w:rFonts w:ascii="Times New Roman" w:hAnsi="Times New Roman" w:eastAsia="Times New Roman" w:cs="Times New Roman"/>
          <w:sz w:val="24"/>
        </w:rPr>
        <w:t xml:space="preserve">, 711 F.2d at 1171,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[c]ontested facts frequently remain in the report even if the court chooses to disregard them for sentencing or expressly finds them inaccurate.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In re Morning Song Bird Food Litig.</w:t>
      </w:r>
      <w:r>
        <w:rPr>
          <w:rFonts w:ascii="Times New Roman" w:hAnsi="Times New Roman" w:eastAsia="Times New Roman" w:cs="Times New Roman"/>
          <w:sz w:val="24"/>
        </w:rPr>
        <w:t xml:space="preserve">, 831 F.3d 765, 772 (6th Cir. 2016). A recipient using the Report to help decide Mr. Bernecky’s risk level has no warning of any of this. Nor does Special Condition (e) require that the Report be returned, or otherwise kept confidential, once whatever proceeding sought it is over — even though the Judiciary’s own governing policy requires exactly that safeguard when a presentence report is redisclosed by the Bureau of Prisons, mandating that the document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be returned to the Federal Bureau of Prisons or destroyed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barring any further redisclosure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without the consent of the sentencing judge.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Guide to Judiciary Policy, Vol. 8D, § 510(e). A disclosure authorization missing all three of those protections invites exactly the unconfined circulation of a presentence report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reversed a lower court for permitting.</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V:</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striking Special Condition (e) in full, without foreclosing a properly noticed, case-specific disclosure request — supported by the particularized showing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Charmer Industries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requires, and conditioned on (i) a prohibition on further redissemination beyond the recipient’s own use in the classification proceeding, (ii) a disclaimer that the Report’s contents are not necessarily accurate, true, or uncontested, and (iii) an order requiring return of the Report and all copies once that proceeding concludes — should one ever actually be made.</w:t>
      </w:r>
    </w:p>
    <w:bookmarkEnd w:id="29"/>
    <w:bookmarkStart w:id="30" w:name="X6e63edc587f29a172d526ad875239cc071061fc"/>
    <w:p>
      <w:pPr>
        <w:pStyle w:val="Heading3"/>
        <w:spacing w:line="480" w:lineRule="auto" w:before="0" w:after="0"/>
      </w:pPr>
      <w:r>
        <w:rPr>
          <w:rFonts w:ascii="Times New Roman" w:hAnsi="Times New Roman" w:eastAsia="Times New Roman" w:cs="Times New Roman"/>
          <w:sz w:val="24"/>
        </w:rPr>
        <w:t xml:space="preserve">VI. Special Condition (g) — Polygraph and Computerized Voice Stress Analyzer Testing</w:t>
      </w:r>
    </w:p>
    <w:p>
      <w:pPr>
        <w:pStyle w:val="FirstParagraph"/>
        <w:spacing w:line="480" w:lineRule="auto" w:before="0" w:after="0"/>
      </w:pPr>
      <w:r>
        <w:rPr>
          <w:rFonts w:ascii="Times New Roman" w:hAnsi="Times New Roman" w:eastAsia="Times New Roman" w:cs="Times New Roman"/>
          <w:sz w:val="24"/>
        </w:rPr>
        <w:t xml:space="preserve">Special Condition (g) states:</w:t>
      </w:r>
    </w:p>
    <w:p>
      <w:pPr>
        <w:pStyle w:val="BlockText"/>
        <w:spacing w:line="480" w:lineRule="auto" w:before="0" w:after="0"/>
        <w:ind w:firstLine="720"/>
      </w:pPr>
      <w:r>
        <w:rPr>
          <w:rFonts w:ascii="Times New Roman" w:hAnsi="Times New Roman" w:eastAsia="Times New Roman" w:cs="Times New Roman"/>
          <w:sz w:val="24"/>
        </w:rPr>
        <w:t xml:space="preserve">The defendant shall submit to polygraph, computerized voice stress analyzer or other such testing, not to exceed twice in a calendar year, and an additional two re-tests per year, as needed. That testing may include examinations using a polygraph, computerized voice stress analyzer, or other similar device to obtain information necessary for supervision, case monitoring, and treatment. The defendant shall answer the questions posed during the examination, subject to the defendant’s right to challenge in a court of law the use of such statements as violations of the defendant’s Fifth Amendment rights. In this regard, the defendant shall be deemed not to have waived the defendant’s Fifth Amendment rights by making any such statements. The results of any polygraph pre-tests and polygraph examinations may be disclosed to the US Probation office and the Court, but shall not be further disclosed without a court order. The defendant is required to contribute to the cost of services rendered.</w:t>
      </w:r>
    </w:p>
    <w:p>
      <w:pPr>
        <w:pStyle w:val="FirstParagraph"/>
        <w:spacing w:line="480" w:lineRule="auto" w:before="0" w:after="0"/>
        <w:ind w:firstLine="720"/>
      </w:pPr>
      <w:r>
        <w:rPr>
          <w:rFonts w:ascii="Times New Roman" w:hAnsi="Times New Roman" w:eastAsia="Times New Roman" w:cs="Times New Roman"/>
          <w:sz w:val="24"/>
        </w:rPr>
        <w:t xml:space="preserve">Mr. Bernecky does not object to submitting to polygraph or CVSA testing, and this motion does not ask the Court to strike Special Condition (g), to relieve him of that testing, or to disturb the twice-a-year schedule and its permitted re-tests. What he objects to is being commanded to</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answer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any specific question at all. He asks the Court to let him have the actual benefit the Fifth Amendment provides — the right not to answer an incriminating question in the moment it is asked — not merely a later opportunity to argue that an answer he was already forced to give should not have been.</w:t>
      </w:r>
    </w:p>
    <w:p>
      <w:pPr>
        <w:pStyle w:val="BodyText"/>
        <w:spacing w:line="480" w:lineRule="auto" w:before="0" w:after="0"/>
        <w:ind w:firstLine="720"/>
      </w:pPr>
      <w:r>
        <w:rPr>
          <w:rFonts w:ascii="Times New Roman" w:hAnsi="Times New Roman" w:eastAsia="Times New Roman" w:cs="Times New Roman"/>
          <w:sz w:val="24"/>
        </w:rPr>
        <w:t xml:space="preserve">The Court should strike, in full and without replacement, three sentences from that paragraph: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defendant shall answer the questions posed during the examination, subject to the defendant’s right to challenge in a court of law the use of such statements as violations of the defendant’s Fifth Amendment rights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In this regard, the defendant shall be deemed not to have waived the defendant’s Fifth Amendment rights by making any such statements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results of any polygraph pre-tests and polygraph examinations may be disclosed to the US Probation office and the Court, but shall not be further disclosed without a court order.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third sentence is surplusage once the first two are gone: it exists only to govern what becomes of statements Mr. Bernecky was compelled to give, and once he is no longer compelled to give any, question by question, there is nothing left for a court-order-gated disclosure rule to protect. Everything else in the condition remains exactly as written — the testing requirement itself, which already commands Mr. Bernecky to</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polygraph, CVSA, or similar testing. Once those three sentences are gone, the condition asks nothing more of Mr. Bernecky than what its own first sentence already asks: that he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testing. It no longer instructs him to answer any particular question, and because it no longer does, it needs no savings clause — and no downstream disclosure rule — to protect a right that a bare submission requirement never put at risk to begin with.</w:t>
      </w:r>
    </w:p>
    <w:p>
      <w:pPr>
        <w:pStyle w:val="BodyText"/>
        <w:spacing w:line="480" w:lineRule="auto" w:before="0" w:after="0"/>
        <w:ind w:firstLine="720"/>
      </w:pPr>
      <w:r>
        <w:rPr>
          <w:rFonts w:ascii="Times New Roman" w:hAnsi="Times New Roman" w:eastAsia="Times New Roman" w:cs="Times New Roman"/>
          <w:sz w:val="24"/>
        </w:rPr>
        <w:t xml:space="preserve">The Second Circuit has never decided whether a savings clause of the kind Special Condition (g) currently pairs with its answer command is sufficient. Its one polygraph decision,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Johnson</w:t>
      </w:r>
      <w:r>
        <w:rPr>
          <w:rFonts w:ascii="Times New Roman" w:hAnsi="Times New Roman" w:eastAsia="Times New Roman" w:cs="Times New Roman"/>
          <w:sz w:val="24"/>
        </w:rPr>
        <w:t xml:space="preserve">, upheld language close enough to Special Condition (g)’s own — an answer requirement paired with a right to challenge the later use of the answer — that the resemblance cannot be coincidence. 446 F.3d 272 (2d Cir. 2006). But the theory Johnson actually presented was narrower than the one Mr. Bernecky raises here: Johnson argued that, absent formal use and derivative-use immunity, he faced an unconstitutional choice between confessing to past conduct and standing in violation of his conditions for remaining silent, a</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Kastigar</w:t>
      </w:r>
      <w:r>
        <w:rPr>
          <w:rFonts w:ascii="Times New Roman" w:hAnsi="Times New Roman" w:eastAsia="Times New Roman" w:cs="Times New Roman"/>
          <w:sz w:val="24"/>
        </w:rPr>
        <w:t xml:space="preserve">-style immunity theory built around his own facts.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Johnson never asked, and the panel never answered, whether requiring an answer at all — backed only by a later right to litigate whether the answer’s use was proper — is itself the compulsion the Fifth Amendment forbids. That is a categorically different question from the one Johnson decided, and it remains open in this Circuit.</w:t>
      </w:r>
    </w:p>
    <w:p>
      <w:pPr>
        <w:pStyle w:val="BodyText"/>
        <w:spacing w:line="480" w:lineRule="auto" w:before="0" w:after="0"/>
        <w:ind w:firstLine="720"/>
      </w:pPr>
      <w:r>
        <w:rPr>
          <w:rFonts w:ascii="Times New Roman" w:hAnsi="Times New Roman" w:eastAsia="Times New Roman" w:cs="Times New Roman"/>
          <w:sz w:val="24"/>
        </w:rPr>
        <w:t xml:space="preserve">The Tenth Circuit appears to be the only circuit that has actually answered it, first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Von Behren</w:t>
      </w:r>
      <w:r>
        <w:rPr>
          <w:rFonts w:ascii="Times New Roman" w:hAnsi="Times New Roman" w:eastAsia="Times New Roman" w:cs="Times New Roman"/>
          <w:sz w:val="24"/>
        </w:rPr>
        <w:t xml:space="preserve">, 822 F.3d 1139 (10th Cir. 2016), and then refined and applied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Richards</w:t>
      </w:r>
      <w:r>
        <w:rPr>
          <w:rFonts w:ascii="Times New Roman" w:hAnsi="Times New Roman" w:eastAsia="Times New Roman" w:cs="Times New Roman"/>
          <w:sz w:val="24"/>
        </w:rPr>
        <w:t xml:space="preserve">, 958 F.3d 961 (10th Cir. 2020), and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McDonald</w:t>
      </w:r>
      <w:r>
        <w:rPr>
          <w:rFonts w:ascii="Times New Roman" w:hAnsi="Times New Roman" w:eastAsia="Times New Roman" w:cs="Times New Roman"/>
          <w:sz w:val="24"/>
        </w:rPr>
        <w:t xml:space="preserve">, No. 1:11-CR-01075-MV-1, 2026 U.S. Dist. LEXIS 681 (D.N.M. Jan. 6, 2026). Mr. Bernecky respectfully asks this Court to apply those standards here.</w:t>
      </w:r>
    </w:p>
    <w:p>
      <w:pPr>
        <w:pStyle w:val="BodyText"/>
        <w:spacing w:line="480" w:lineRule="auto" w:before="0" w:after="0"/>
        <w:ind w:firstLine="720"/>
      </w:pPr>
      <w:r>
        <w:rPr>
          <w:iCs/>
          <w:rFonts w:ascii="Times New Roman" w:hAnsi="Times New Roman" w:eastAsia="Times New Roman" w:cs="Times New Roman"/>
          <w:i/>
          <w:sz w:val="24"/>
        </w:rPr>
        <w:t xml:space="preserve">Minnesota v. Murphy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supplies the framework those decisions apply: compulsion exists whenever the government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either expressly or by implication, asserts that invocation of the privilege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would lead to revocation or another substantial penalty. 465 U.S. 420, 434-36 (1984). Until</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Von Behren</w:t>
      </w:r>
      <w:r>
        <w:rPr>
          <w:rFonts w:ascii="Times New Roman" w:hAnsi="Times New Roman" w:eastAsia="Times New Roman" w:cs="Times New Roman"/>
          <w:sz w:val="24"/>
        </w:rPr>
        <w:t xml:space="preserve">, the question whether requiring an answer to a supervised-release polygraph question, backed by the threat of revocation for declining to give one, satisfies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classic penalty situation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appears to have gone unaddressed in this specific setting — polygraph and CVSA testing tied to sex-offender supervision.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Von Behren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answered 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threat to revoke one’s probation for properly invoking his Fifth Amendment privilege is the type of compulsion the state may not constitutionally impose.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822 F.3d at 1150. Special Condition (g) does not need an officer standing in the room threatening revocation to create that same compulsion; Murphy’s own standard does not require one, since compulsion exists where the government asserts the penalty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either expressly or</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by implication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465 U.S. at 435 (emphasis added). This condition builds that implication into its own grammar. For decades, the Supreme Court has instructed that a witness invokes the privilege by doing exactly one thing: declining to answer the question asked, with nothing more required at that moment to protect himself.</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Hoffman v. United States</w:t>
      </w:r>
      <w:r>
        <w:rPr>
          <w:rFonts w:ascii="Times New Roman" w:hAnsi="Times New Roman" w:eastAsia="Times New Roman" w:cs="Times New Roman"/>
          <w:sz w:val="24"/>
        </w:rPr>
        <w:t xml:space="preserve">, 341 U.S. 479, 486 (1951) (a witness need only decline to answer, on the stated ground that a responsive answer might be incriminating, to invoke the privilege in the first instance — its validity, if challenged, is for the court to decide afterward). Special Condition (g)’s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shall answer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commands the opposite of that decades-old instruction: it tells Mr. Bernecky, in a condition backed by the threat of revocation for any violation, that the one act the Constitution has always told him is sufficient to protect himself — simply declining to answer — is itself a violation of his supervision. That is not an extension of Murphy’s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classic penalty situation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by analogy; it is that situation, implied directly from the condition’s own command rather than from any officer’s separate statement — the identical absence of room to decline that made the threatened termination and remand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Von Behren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unconstitutional.</w:t>
      </w:r>
    </w:p>
    <w:p>
      <w:pPr>
        <w:pStyle w:val="BodyText"/>
        <w:spacing w:line="480" w:lineRule="auto" w:before="0" w:after="0"/>
        <w:ind w:firstLine="720"/>
      </w:pPr>
      <w:r>
        <w:rPr>
          <w:rFonts w:ascii="Times New Roman" w:hAnsi="Times New Roman" w:eastAsia="Times New Roman" w:cs="Times New Roman"/>
          <w:sz w:val="24"/>
        </w:rPr>
        <w:t xml:space="preserve">Mr. Bernecky’s request is not exotic; it already describes how the agency responsible for administering supervision handles this exact scenario everywhere else. The Administrative Office’s own guidance to probation officers directs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[i]f the person on supervision refuses to answer a specific question on the grounds that it is self-incriminating, the officer should not compel (e.g., through threat of revocation) the person to answer the question,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that where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there is uncertainty about whether the invocation of the privilege against self-incrimination is valid . . . the probation officer should refer the matter to the court to make this determination.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Guide to Judiciary Policy, Vol. 8E, § 250(b). That is precisely the structure Mr. Bernecky asks the Court to make explicit in Special Condition (g) itself: invoke question by question, with any dispute about a specific invocation’s validity referred to this Court, rather than resolved unilaterally by an officer in the room or deferred to a later proceeding reviewing an answer Mr. Bernecky has already been forced to give. Special Condition (g)’s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shall answer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text does not merely omit this safeguard — it contradicts the policy that is supposed to guide the very officer who will administer it.</w:t>
      </w:r>
    </w:p>
    <w:p>
      <w:pPr>
        <w:pStyle w:val="BodyText"/>
        <w:spacing w:line="480" w:lineRule="auto" w:before="0" w:after="0"/>
        <w:ind w:firstLine="720"/>
      </w:pPr>
      <w:r>
        <w:rPr>
          <w:rFonts w:ascii="Times New Roman" w:hAnsi="Times New Roman" w:eastAsia="Times New Roman" w:cs="Times New Roman"/>
          <w:sz w:val="24"/>
        </w:rPr>
        <w:t xml:space="preserve">The reason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answer now, argue about the use of the answer later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cannot substitute for the Fifth Amendment’s actual protection is not that a future prosecution against Mr. Bernecky is speculative. Whether prosecution is ever likely is beside the point: once a person has a valid basis to invoke the privilege, the government may not compel the answer at all, and it does not get to compel the answer now on the promise that a court will sort out later whether it should have been permitted. The incrimination threshold that triggers this rule is deliberately low: a statement is incriminating if it provides only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lead or a link in the chain of evidence that could lead to prosecution.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Von Behren</w:t>
      </w:r>
      <w:r>
        <w:rPr>
          <w:rFonts w:ascii="Times New Roman" w:hAnsi="Times New Roman" w:eastAsia="Times New Roman" w:cs="Times New Roman"/>
          <w:sz w:val="24"/>
        </w:rPr>
        <w:t xml:space="preserve">, 822 F.3d at 1144 (quoting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Maness v. Meyers</w:t>
      </w:r>
      <w:r>
        <w:rPr>
          <w:rFonts w:ascii="Times New Roman" w:hAnsi="Times New Roman" w:eastAsia="Times New Roman" w:cs="Times New Roman"/>
          <w:sz w:val="24"/>
        </w:rPr>
        <w:t xml:space="preserve">, 419 U.S. 449, 461 (1975));</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accord United States v. McDonald</w:t>
      </w:r>
      <w:r>
        <w:rPr>
          <w:rFonts w:ascii="Times New Roman" w:hAnsi="Times New Roman" w:eastAsia="Times New Roman" w:cs="Times New Roman"/>
          <w:sz w:val="24"/>
        </w:rPr>
        <w:t xml:space="preserve">, No. 1:11-CR-01075-MV-1, 2026 U.S. Dist. LEXIS 681, at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___ (D.N.M. Jan. 6, 2026) (quoting the identical</w:t>
      </w:r>
      <w:r>
        <w:rPr>
          <w:iCs/>
          <w:rFonts w:ascii="Times New Roman" w:hAnsi="Times New Roman" w:eastAsia="Times New Roman" w:cs="Times New Roman"/>
          <w:i/>
          <w:sz w:val="24"/>
        </w:rPr>
        <w:t xml:space="preserve"> </w:t>
      </w:r>
      <w:r>
        <w:rPr>
          <w:iCs/>
          <w:rFonts w:ascii="Times New Roman" w:hAnsi="Times New Roman" w:eastAsia="Times New Roman" w:cs="Times New Roman"/>
          <w:i/>
          <w:sz w:val="24"/>
        </w:rPr>
        <w:t xml:space="preserve">“</w:t>
      </w:r>
      <w:r>
        <w:rPr>
          <w:iCs/>
          <w:rFonts w:ascii="Times New Roman" w:hAnsi="Times New Roman" w:eastAsia="Times New Roman" w:cs="Times New Roman"/>
          <w:i/>
          <w:sz w:val="24"/>
        </w:rPr>
        <w:t xml:space="preserve">lead or link</w:t>
      </w:r>
      <w:r>
        <w:rPr>
          <w:iCs/>
          <w:rFonts w:ascii="Times New Roman" w:hAnsi="Times New Roman" w:eastAsia="Times New Roman" w:cs="Times New Roman"/>
          <w:i/>
          <w:sz w:val="24"/>
        </w:rPr>
        <w:t xml:space="preserve">”</w:t>
      </w:r>
      <w:r>
        <w:rPr>
          <w:iCs/>
          <w:rFonts w:ascii="Times New Roman" w:hAnsi="Times New Roman" w:eastAsia="Times New Roman" w:cs="Times New Roman"/>
          <w:i/>
          <w:sz w:val="24"/>
        </w:rPr>
        <w:t xml:space="preserve"> </w:t>
      </w:r>
      <w:r>
        <w:rPr>
          <w:iCs/>
          <w:rFonts w:ascii="Times New Roman" w:hAnsi="Times New Roman" w:eastAsia="Times New Roman" w:cs="Times New Roman"/>
          <w:i/>
          <w:sz w:val="24"/>
        </w:rPr>
        <w:t xml:space="preserve">standard from</w:t>
      </w:r>
      <w:r>
        <w:rPr>
          <w:iCs/>
          <w:rFonts w:ascii="Times New Roman" w:hAnsi="Times New Roman" w:eastAsia="Times New Roman" w:cs="Times New Roman"/>
          <w:i/>
          <w:sz w:val="24"/>
        </w:rPr>
        <w:t xml:space="preserve"> </w:t>
      </w:r>
      <w:r>
        <w:rPr>
          <w:rFonts w:ascii="Times New Roman" w:hAnsi="Times New Roman" w:eastAsia="Times New Roman" w:cs="Times New Roman"/>
          <w:sz w:val="24"/>
        </w:rPr>
        <w:t xml:space="preserve">Richards</w:t>
      </w:r>
      <w:r>
        <w:rPr>
          <w:iCs/>
          <w:rFonts w:ascii="Times New Roman" w:hAnsi="Times New Roman" w:eastAsia="Times New Roman" w:cs="Times New Roman"/>
          <w:i/>
          <w:sz w:val="24"/>
        </w:rPr>
        <w:t xml:space="preserve">, 958 F.3d at 967). That threshold does not wait for an actual investigation to exist. As</w:t>
      </w:r>
      <w:r>
        <w:rPr>
          <w:iCs/>
          <w:rFonts w:ascii="Times New Roman" w:hAnsi="Times New Roman" w:eastAsia="Times New Roman" w:cs="Times New Roman"/>
          <w:i/>
          <w:sz w:val="24"/>
        </w:rPr>
        <w:t xml:space="preserve"> </w:t>
      </w:r>
      <w:r>
        <w:rPr>
          <w:rFonts w:ascii="Times New Roman" w:hAnsi="Times New Roman" w:eastAsia="Times New Roman" w:cs="Times New Roman"/>
          <w:sz w:val="24"/>
        </w:rPr>
        <w:t xml:space="preserve">McDonald* explains,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[t]hat is not to say that an active investigation is necessary to make an answer incriminating. Answers that could provide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lead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or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link</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potential future criminal investigations are also incriminating.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McDonald</w:t>
      </w:r>
      <w:r>
        <w:rPr>
          <w:rFonts w:ascii="Times New Roman" w:hAnsi="Times New Roman" w:eastAsia="Times New Roman" w:cs="Times New Roman"/>
          <w:sz w:val="24"/>
        </w:rPr>
        <w:t xml:space="preserve">, 2026 U.S. Dist. LEXIS 681, at *___. Special Condition (g)’s structure gets the sequence backward. It defers the entire inquiry to a later proceeding examining a statement Mr. Bernecky has already given, when the real constitutional question — whether the answer should have been compelled at all — has to be asked before the answer is given, not after. The harm the privilege exists to prevent, providing a lead or a link the government did not otherwise have, happens the moment the answer is spoken; a later ruling that the statement was inadmissible does not undo that disclosure. It cannot make an investigator un-know what the answer told him, or stop him from pursuing where it leads.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Answer first, litigate later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not a diminished version of the Fifth Amendment’s protection. It is the absence of that protection, dressed up as a savings clause.</w:t>
      </w:r>
    </w:p>
    <w:p>
      <w:pPr>
        <w:pStyle w:val="BodyText"/>
        <w:spacing w:line="480" w:lineRule="auto" w:before="0" w:after="0"/>
        <w:ind w:firstLine="720"/>
      </w:pPr>
      <w:r>
        <w:rPr>
          <w:iCs/>
          <w:rFonts w:ascii="Times New Roman" w:hAnsi="Times New Roman" w:eastAsia="Times New Roman" w:cs="Times New Roman"/>
          <w:i/>
          <w:sz w:val="24"/>
        </w:rPr>
        <w:t xml:space="preserve">Richards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McDonald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confirm this diagnosis, and fairness requires disclosing both honestly: each rejected the facial challenge before it.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Richards</w:t>
      </w:r>
      <w:r>
        <w:rPr>
          <w:rFonts w:ascii="Times New Roman" w:hAnsi="Times New Roman" w:eastAsia="Times New Roman" w:cs="Times New Roman"/>
          <w:sz w:val="24"/>
        </w:rPr>
        <w:t xml:space="preserve">, the Tenth Circuit upheld a condition requiring the defendant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to submit to periodic polygraph testing,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because nothing in the record showed the government had threatened, expressly or by implication, to seek revocation for a valid invocation of the privilege. 958 F.3d at 967. Applying constitutional avoidance, the court read the condition to leave the defendant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free to legitimately exercise his Fifth Amendment right without facing the risk that a valid assertion of his privilege . . . will result in revocation.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968. Senior United States District Judge Martha Vazquez of the District of New Mexico reached the identical result on the identical reasoning, denying a facial challenge to a condition requiring the defendant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clinical polygraph examinations,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because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neither the Government nor any other entity ha[d] threatened, explicitly or implicitly, to revoke Mr. McDonald’s supervised release if he refuses to answer a question during a polygraph examination on valid Fifth Amendment grounds.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McDonald</w:t>
      </w:r>
      <w:r>
        <w:rPr>
          <w:rFonts w:ascii="Times New Roman" w:hAnsi="Times New Roman" w:eastAsia="Times New Roman" w:cs="Times New Roman"/>
          <w:sz w:val="24"/>
        </w:rPr>
        <w:t xml:space="preserve">, 2026 U.S. Dist. LEXIS 681, at *___. Judge Vazquez went further, advising defendants generally that they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should err on the side of asserting the privilege even where the question does not directly ask about the commission of a crime.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*___.</w:t>
      </w:r>
    </w:p>
    <w:p>
      <w:pPr>
        <w:pStyle w:val="BodyText"/>
        <w:spacing w:line="480" w:lineRule="auto" w:before="0" w:after="0"/>
        <w:ind w:firstLine="720"/>
      </w:pPr>
      <w:r>
        <w:rPr>
          <w:rFonts w:ascii="Times New Roman" w:hAnsi="Times New Roman" w:eastAsia="Times New Roman" w:cs="Times New Roman"/>
          <w:sz w:val="24"/>
        </w:rPr>
        <w:t xml:space="preserve">Neither case helps the government here, because neither condition was written the way Special Condition (g) is written. Both courts could reach their result only because the operative verb in each condition was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language about attendance and participation in an examination, not language commanding an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answer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McDonald</w:t>
      </w:r>
      <w:r>
        <w:rPr>
          <w:rFonts w:ascii="Times New Roman" w:hAnsi="Times New Roman" w:eastAsia="Times New Roman" w:cs="Times New Roman"/>
          <w:sz w:val="24"/>
        </w:rPr>
        <w:t xml:space="preserve">, 2026 U.S. Dist. LEXIS 681, at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___ (</w:t>
      </w:r>
      <w:r>
        <w:rPr>
          <w:iCs/>
          <w:rFonts w:ascii="Times New Roman" w:hAnsi="Times New Roman" w:eastAsia="Times New Roman" w:cs="Times New Roman"/>
          <w:i/>
          <w:sz w:val="24"/>
        </w:rPr>
        <w:t xml:space="preserve">“</w:t>
      </w:r>
      <w:r>
        <w:rPr>
          <w:iCs/>
          <w:rFonts w:ascii="Times New Roman" w:hAnsi="Times New Roman" w:eastAsia="Times New Roman" w:cs="Times New Roman"/>
          <w:i/>
          <w:sz w:val="24"/>
        </w:rPr>
        <w:t xml:space="preserve">Mr. McDonald may be required to</w:t>
      </w:r>
      <w:r>
        <w:rPr>
          <w:iCs/>
          <w:rFonts w:ascii="Times New Roman" w:hAnsi="Times New Roman" w:eastAsia="Times New Roman" w:cs="Times New Roman"/>
          <w:i/>
          <w:sz w:val="24"/>
        </w:rPr>
        <w:t xml:space="preserve"> </w:t>
      </w:r>
      <w:r>
        <w:rPr>
          <w:iCs/>
          <w:rFonts w:ascii="Times New Roman" w:hAnsi="Times New Roman" w:eastAsia="Times New Roman" w:cs="Times New Roman"/>
          <w:i/>
          <w:sz w:val="24"/>
        </w:rPr>
        <w:t xml:space="preserve">‘</w:t>
      </w:r>
      <w:r>
        <w:rPr>
          <w:iCs/>
          <w:rFonts w:ascii="Times New Roman" w:hAnsi="Times New Roman" w:eastAsia="Times New Roman" w:cs="Times New Roman"/>
          <w:i/>
          <w:iCs/>
          <w:i/>
          <w:sz w:val="24"/>
        </w:rPr>
        <w:t xml:space="preserve">submit to</w:t>
      </w:r>
      <w:r>
        <w:rPr>
          <w:iCs/>
          <w:rFonts w:ascii="Times New Roman" w:hAnsi="Times New Roman" w:eastAsia="Times New Roman" w:cs="Times New Roman"/>
          <w:i/>
          <w:sz w:val="24"/>
        </w:rPr>
        <w:t xml:space="preserve"> </w:t>
      </w:r>
      <w:r>
        <w:rPr>
          <w:iCs/>
          <w:rFonts w:ascii="Times New Roman" w:hAnsi="Times New Roman" w:eastAsia="Times New Roman" w:cs="Times New Roman"/>
          <w:i/>
          <w:sz w:val="24"/>
        </w:rPr>
        <w:t xml:space="preserve">clinical polygraph examinations,</w:t>
      </w:r>
      <w:r>
        <w:rPr>
          <w:iCs/>
          <w:rFonts w:ascii="Times New Roman" w:hAnsi="Times New Roman" w:eastAsia="Times New Roman" w:cs="Times New Roman"/>
          <w:i/>
          <w:sz w:val="24"/>
        </w:rPr>
        <w:t xml:space="preserve">’</w:t>
      </w:r>
      <w:r>
        <w:rPr>
          <w:iCs/>
          <w:rFonts w:ascii="Times New Roman" w:hAnsi="Times New Roman" w:eastAsia="Times New Roman" w:cs="Times New Roman"/>
          <w:i/>
          <w:sz w:val="24"/>
        </w:rPr>
        <w:t xml:space="preserve"> </w:t>
      </w:r>
      <w:r>
        <w:rPr>
          <w:iCs/>
          <w:rFonts w:ascii="Times New Roman" w:hAnsi="Times New Roman" w:eastAsia="Times New Roman" w:cs="Times New Roman"/>
          <w:i/>
          <w:sz w:val="24"/>
        </w:rPr>
        <w:t xml:space="preserve">but that does not necessarily translate to</w:t>
      </w:r>
      <w:r>
        <w:rPr>
          <w:iCs/>
          <w:rFonts w:ascii="Times New Roman" w:hAnsi="Times New Roman" w:eastAsia="Times New Roman" w:cs="Times New Roman"/>
          <w:i/>
          <w:sz w:val="24"/>
        </w:rPr>
        <w:t xml:space="preserve"> </w:t>
      </w:r>
      <w:r>
        <w:rPr>
          <w:iCs/>
          <w:rFonts w:ascii="Times New Roman" w:hAnsi="Times New Roman" w:eastAsia="Times New Roman" w:cs="Times New Roman"/>
          <w:i/>
          <w:sz w:val="24"/>
        </w:rPr>
        <w:t xml:space="preserve">‘</w:t>
      </w:r>
      <w:r>
        <w:rPr>
          <w:iCs/>
          <w:rFonts w:ascii="Times New Roman" w:hAnsi="Times New Roman" w:eastAsia="Times New Roman" w:cs="Times New Roman"/>
          <w:i/>
          <w:sz w:val="24"/>
        </w:rPr>
        <w:t xml:space="preserve">truthfully</w:t>
      </w:r>
      <w:r>
        <w:rPr>
          <w:iCs/>
          <w:rFonts w:ascii="Times New Roman" w:hAnsi="Times New Roman" w:eastAsia="Times New Roman" w:cs="Times New Roman"/>
          <w:i/>
          <w:sz w:val="24"/>
        </w:rPr>
        <w:t xml:space="preserve"> </w:t>
      </w:r>
      <w:r>
        <w:rPr>
          <w:iCs/>
          <w:rFonts w:ascii="Times New Roman" w:hAnsi="Times New Roman" w:eastAsia="Times New Roman" w:cs="Times New Roman"/>
          <w:i/>
          <w:iCs/>
          <w:i/>
          <w:sz w:val="24"/>
        </w:rPr>
        <w:t xml:space="preserve">answer</w:t>
      </w:r>
      <w:r>
        <w:rPr>
          <w:iCs/>
          <w:rFonts w:ascii="Times New Roman" w:hAnsi="Times New Roman" w:eastAsia="Times New Roman" w:cs="Times New Roman"/>
          <w:i/>
          <w:sz w:val="24"/>
        </w:rPr>
        <w:t xml:space="preserve"> </w:t>
      </w:r>
      <w:r>
        <w:rPr>
          <w:iCs/>
          <w:rFonts w:ascii="Times New Roman" w:hAnsi="Times New Roman" w:eastAsia="Times New Roman" w:cs="Times New Roman"/>
          <w:i/>
          <w:sz w:val="24"/>
        </w:rPr>
        <w:t xml:space="preserve">even incriminating questions</w:t>
      </w:r>
      <w:r>
        <w:rPr>
          <w:iCs/>
          <w:rFonts w:ascii="Times New Roman" w:hAnsi="Times New Roman" w:eastAsia="Times New Roman" w:cs="Times New Roman"/>
          <w:i/>
          <w:sz w:val="24"/>
        </w:rPr>
        <w:t xml:space="preserve">’</w:t>
      </w:r>
      <w:r>
        <w:rPr>
          <w:iCs/>
          <w:rFonts w:ascii="Times New Roman" w:hAnsi="Times New Roman" w:eastAsia="Times New Roman" w:cs="Times New Roman"/>
          <w:i/>
          <w:sz w:val="24"/>
        </w:rPr>
        <w:t xml:space="preserve">”</w:t>
      </w:r>
      <w:r>
        <w:rPr>
          <w:iCs/>
          <w:rFonts w:ascii="Times New Roman" w:hAnsi="Times New Roman" w:eastAsia="Times New Roman" w:cs="Times New Roman"/>
          <w:i/>
          <w:sz w:val="24"/>
        </w:rPr>
        <w:t xml:space="preserve">). Special Condition (g) closes that gap by its own terms: it does not tell Mr. Bernecky to</w:t>
      </w:r>
      <w:r>
        <w:rPr>
          <w:iCs/>
          <w:rFonts w:ascii="Times New Roman" w:hAnsi="Times New Roman" w:eastAsia="Times New Roman" w:cs="Times New Roman"/>
          <w:i/>
          <w:sz w:val="24"/>
        </w:rPr>
        <w:t xml:space="preserve"> </w:t>
      </w:r>
      <w:r>
        <w:rPr>
          <w:rFonts w:ascii="Times New Roman" w:hAnsi="Times New Roman" w:eastAsia="Times New Roman" w:cs="Times New Roman"/>
          <w:sz w:val="24"/>
        </w:rPr>
        <w:t xml:space="preserve">submit to* an examination, it tells him to</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answer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questions posed during one, and there is no reading of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shall answer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leaves the room to decline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leaves open. Constitutional avoidance lets a court choose between readings the text can bear; it cannot manufacture a reading the text has already foreclosed. Judge Vazquez recognized as much, emphasizing that a defendant remains free to move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to modify [his] conditions to include language that better strikes a balance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between his constitutional rights and Probation’s supervisory interest — precisely the motion Mr. Bernecky now brings.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McDonald</w:t>
      </w:r>
      <w:r>
        <w:rPr>
          <w:rFonts w:ascii="Times New Roman" w:hAnsi="Times New Roman" w:eastAsia="Times New Roman" w:cs="Times New Roman"/>
          <w:sz w:val="24"/>
        </w:rPr>
        <w:t xml:space="preserve">, 2026 U.S. Dist. LEXIS 681, at *___.</w:t>
      </w:r>
    </w:p>
    <w:p>
      <w:pPr>
        <w:pStyle w:val="BodyText"/>
        <w:spacing w:line="480" w:lineRule="auto" w:before="0" w:after="0"/>
        <w:ind w:firstLine="720"/>
      </w:pPr>
      <w:r>
        <w:rPr>
          <w:rFonts w:ascii="Times New Roman" w:hAnsi="Times New Roman" w:eastAsia="Times New Roman" w:cs="Times New Roman"/>
          <w:sz w:val="24"/>
        </w:rPr>
        <w:t xml:space="preserve">The fix is the one stated at the outset: strike, in full, the two sentences that command an answer and defer the entire privilege inquiry to a later proceeding, together with the disclosure sentence that exists only to govern the fallout of a compelled answer, and propose no replacement for any of the three. What remains — a condition that requires Mr. Bernecky to</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testing, without commanding an answer to any specific question — is exactly the structure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Richards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McDonald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both held preserves the in-the-moment right to invoke the privilege.</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VI: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striking, in full and without replacement, the condition’s compelled-answer sentence, its accompanying non-waiver sentence, and the now-surplus disclosure sentence, leaving Mr. Bernecky’s obligation to</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polygraph and CVSA testing otherwise intact.</w:t>
      </w:r>
    </w:p>
    <w:bookmarkEnd w:id="30"/>
    <w:bookmarkStart w:id="31" w:name="X7bc8ea5027ea2bb91c6d0119e04228405da5ab7"/>
    <w:p>
      <w:pPr>
        <w:pStyle w:val="Heading3"/>
        <w:spacing w:line="480" w:lineRule="auto" w:before="0" w:after="0"/>
      </w:pPr>
      <w:r>
        <w:rPr>
          <w:rFonts w:ascii="Times New Roman" w:hAnsi="Times New Roman" w:eastAsia="Times New Roman" w:cs="Times New Roman"/>
          <w:sz w:val="24"/>
        </w:rPr>
        <w:t xml:space="preserve">VII. Special Condition (h) — Mental Health Treatment and Alcohol Abstinence</w:t>
      </w:r>
    </w:p>
    <w:p>
      <w:pPr>
        <w:pStyle w:val="FirstParagraph"/>
        <w:spacing w:line="480" w:lineRule="auto" w:before="0" w:after="0"/>
        <w:ind w:firstLine="720"/>
      </w:pPr>
      <w:r>
        <w:rPr>
          <w:rFonts w:ascii="Times New Roman" w:hAnsi="Times New Roman" w:eastAsia="Times New Roman" w:cs="Times New Roman"/>
          <w:sz w:val="24"/>
        </w:rPr>
        <w:t xml:space="preserve">Once supervision begins, Special Condition (h) will require participation in mental health treatment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while in treatment or taking psychotropic medication,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complete abstinence from alcohol. The provider-rule and violation-exposure problem common to any court-ordered treatment program — addressed in Part II, which applies with equal force to the mental health provider selected under this condition — is not repeated here. This Part addresses a separate problem specific to Special Condition (h): the automatic, blanket alcohol-abstinence requirement itself.</w:t>
      </w:r>
    </w:p>
    <w:p>
      <w:pPr>
        <w:pStyle w:val="BodyText"/>
        <w:spacing w:line="480" w:lineRule="auto" w:before="0" w:after="0"/>
        <w:ind w:firstLine="720"/>
      </w:pPr>
      <w:r>
        <w:rPr>
          <w:rFonts w:ascii="Times New Roman" w:hAnsi="Times New Roman" w:eastAsia="Times New Roman" w:cs="Times New Roman"/>
          <w:sz w:val="24"/>
        </w:rPr>
        <w:t xml:space="preserve">Alcohol abstinence should follow an actual physician’s determination, not apply automatically regardless of one. Mr. Bernecky has no objection to treatment itself. His objection is to a blanket abstinence rule that will apply whether or not any physician has ever said a specific medication he takes interacts with alcohol. This Circuit has already vacated a comparable blanket restriction for lacking the individualized nexus § 3583(d) demands.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Betts</w:t>
      </w:r>
      <w:r>
        <w:rPr>
          <w:rFonts w:ascii="Times New Roman" w:hAnsi="Times New Roman" w:eastAsia="Times New Roman" w:cs="Times New Roman"/>
          <w:sz w:val="24"/>
        </w:rPr>
        <w:t xml:space="preserve">, 886 F.3d 198 (2d Cir. 2018) (striking a total alcohol ban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reasonably related to any of the factors outlined in Section 5D1.3(b)</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where nothing in the record tied the offense, any violation, or any history to alcohol). It has since applied the same rule to a nearly identical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abstain from alcohol during treatment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clause, rejecting the government’s position that the clause could simply be reimposed without any individualized look.</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See United States v. Rodriguez</w:t>
      </w:r>
      <w:r>
        <w:rPr>
          <w:rFonts w:ascii="Times New Roman" w:hAnsi="Times New Roman" w:eastAsia="Times New Roman" w:cs="Times New Roman"/>
          <w:sz w:val="24"/>
        </w:rPr>
        <w:t xml:space="preserve">, No. 22-1820-cr (2d Cir. Dec. 7, 2023) (summary order). The same gap exists here: nothing in this record ties alcohol to Mr. Bernecky’s offense or his criminal history at all. His offense conduct involved images on a device, not alcohol, and no incident in his record has ever involved alcohol as a factor.</w:t>
      </w:r>
    </w:p>
    <w:p>
      <w:pPr>
        <w:pStyle w:val="BodyText"/>
        <w:spacing w:line="480" w:lineRule="auto" w:before="0" w:after="0"/>
        <w:ind w:firstLine="720"/>
      </w:pPr>
      <w:r>
        <w:rPr>
          <w:rFonts w:ascii="Times New Roman" w:hAnsi="Times New Roman" w:eastAsia="Times New Roman" w:cs="Times New Roman"/>
          <w:sz w:val="24"/>
        </w:rPr>
        <w:t xml:space="preserve">The clause’s own wording makes this worse: it triggers 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treatment</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medication,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meaning talk therapy alone — with no medication at all — is enough to require abstinence, even though no interaction risk could exist without a medication in the picture. Even within the medication branch, treating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psychotropic medication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one uniform risk category ignores that alcohol-interaction risk differs sharply across drug classes. This precise clause, word for word, is this district’s standard template for mental-health-treatment conditions, adopted after this district’s own remand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Browder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not a finding made specifically about Mr. Bernecky.</w:t>
      </w:r>
    </w:p>
    <w:p>
      <w:pPr>
        <w:pStyle w:val="BodyText"/>
        <w:spacing w:line="480" w:lineRule="auto" w:before="0" w:after="0"/>
        <w:ind w:firstLine="720"/>
      </w:pPr>
      <w:r>
        <w:rPr>
          <w:rFonts w:ascii="Times New Roman" w:hAnsi="Times New Roman" w:eastAsia="Times New Roman" w:cs="Times New Roman"/>
          <w:sz w:val="24"/>
        </w:rPr>
        <w:t xml:space="preserve">The fix: the alcohol-abstinence requirement should apply only while, and only because, a treating physician has determined alcohol is contraindicated for a specific medication or treatment Mr. Bernecky is actually receiving.</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VII: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amending Special Condition (h) so that the alcohol-abstinence requirement applies only upon, and only for as long as, a treating physician determines that alcohol is contraindicated for a specific medication or treatment Mr. Bernecky is actually receiving; the provider-rule and violation-exposure protections requested as to Part II apply to this condition as well, as set out there.</w:t>
      </w:r>
    </w:p>
    <w:bookmarkEnd w:id="31"/>
    <w:bookmarkStart w:id="32" w:name="X333e091314fc2468fd438affcc906b113ea7235"/>
    <w:p>
      <w:pPr>
        <w:pStyle w:val="Heading3"/>
        <w:spacing w:line="480" w:lineRule="auto" w:before="0" w:after="0"/>
      </w:pPr>
      <w:r>
        <w:rPr>
          <w:rFonts w:ascii="Times New Roman" w:hAnsi="Times New Roman" w:eastAsia="Times New Roman" w:cs="Times New Roman"/>
          <w:sz w:val="24"/>
        </w:rPr>
        <w:t xml:space="preserve">VIII. Standard Conditions 5 and 8 — No Defined Standard for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Approved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Permission</w:t>
      </w:r>
      <w:r>
        <w:rPr>
          <w:rFonts w:ascii="Times New Roman" w:hAnsi="Times New Roman" w:eastAsia="Times New Roman" w:cs="Times New Roman"/>
          <w:sz w:val="24"/>
        </w:rPr>
        <w:t xml:space="preserve">”</w:t>
      </w:r>
    </w:p>
    <w:p>
      <w:pPr>
        <w:pStyle w:val="FirstParagraph"/>
        <w:spacing w:line="480" w:lineRule="auto" w:before="0" w:after="0"/>
        <w:ind w:firstLine="720"/>
      </w:pPr>
      <w:r>
        <w:rPr>
          <w:rFonts w:ascii="Times New Roman" w:hAnsi="Times New Roman" w:eastAsia="Times New Roman" w:cs="Times New Roman"/>
          <w:sz w:val="24"/>
        </w:rPr>
        <w:t xml:space="preserve">Standard Condition 5 will require Mr. Bernecky to live only at a place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approved by the probation officer.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Standard Condition 8 will forbid him from communicating with anyone he knows has a felony conviction without the probation officer’s advance permission. Mr. Bernecky knows, from the conditions’ own text, that permission is required in each circumstance. What neither condition says is what will actually earn it — what a probation officer is supposed to look for, what Mr. Bernecky would need to show or do, or what standard separates a place or a person that gets approved from one that does not.</w:t>
      </w:r>
    </w:p>
    <w:p>
      <w:pPr>
        <w:pStyle w:val="BodyText"/>
        <w:spacing w:line="480" w:lineRule="auto" w:before="0" w:after="0"/>
        <w:ind w:firstLine="720"/>
      </w:pPr>
      <w:r>
        <w:rPr>
          <w:rFonts w:ascii="Times New Roman" w:hAnsi="Times New Roman" w:eastAsia="Times New Roman" w:cs="Times New Roman"/>
          <w:sz w:val="24"/>
        </w:rPr>
        <w:t xml:space="preserve">That gap is a real problem, not an abstract one. Because nothing defines what satisfies either standard, a probation officer is free to condition approval on anything at all — compliance with requests that have nothing to do with risk or need, or simply whatever the officer decides, in the moment, to require. Written this way, Standard Conditions 5 and 8 turn Mr. Bernecky’s liberty, his choice of associations, his property interest in where he lives, and even his own speech into a carrot: something to be granted or withheld at will, rather than something governed by any standard he could point to and say he had met.</w:t>
      </w:r>
    </w:p>
    <w:p>
      <w:pPr>
        <w:pStyle w:val="BodyText"/>
        <w:spacing w:line="480" w:lineRule="auto" w:before="0" w:after="0"/>
        <w:ind w:firstLine="720"/>
      </w:pPr>
      <w:r>
        <w:rPr>
          <w:rFonts w:ascii="Times New Roman" w:hAnsi="Times New Roman" w:eastAsia="Times New Roman" w:cs="Times New Roman"/>
          <w:sz w:val="24"/>
        </w:rPr>
        <w:t xml:space="preserve">The vagueness principle applies directly: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 condition is too vague if it requires a reasonable person to speculate as to its meaning.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Reeves</w:t>
      </w:r>
      <w:r>
        <w:rPr>
          <w:rFonts w:ascii="Times New Roman" w:hAnsi="Times New Roman" w:eastAsia="Times New Roman" w:cs="Times New Roman"/>
          <w:sz w:val="24"/>
        </w:rPr>
        <w:t xml:space="preserve">, 591 F.3d 77, 80-81 (2d Cir. 2010). Knowing that permission is required does Mr. Bernecky no good if nothing tells him, or anyone else, what earns it; he is left to speculate about the standard itself, not merely its application. That is also a delegation problem, not merely a notice problem: a district court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may not delegate to the Probation Department decisionmaking authority which would make a defendant’s liberty itself contingent on a probation officer’s exercise of discretion.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Kunz</w:t>
      </w:r>
      <w:r>
        <w:rPr>
          <w:rFonts w:ascii="Times New Roman" w:hAnsi="Times New Roman" w:eastAsia="Times New Roman" w:cs="Times New Roman"/>
          <w:sz w:val="24"/>
        </w:rPr>
        <w:t xml:space="preserve">, 68 F.4th 748, 762-63 (2d Cir. 2023) (quoting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Matta</w:t>
      </w:r>
      <w:r>
        <w:rPr>
          <w:rFonts w:ascii="Times New Roman" w:hAnsi="Times New Roman" w:eastAsia="Times New Roman" w:cs="Times New Roman"/>
          <w:sz w:val="24"/>
        </w:rPr>
        <w:t xml:space="preserve">, 777 F.3d 116, 122 (2d Cir. 2015)). Both conditions do exactly that: whether Mr. Bernecky may keep his home, or speak to another person, turns entirely on a probation officer’s unstated exercise of discretion, with no standard supplied by this Court, or by Probation itself, to constrain it.</w:t>
      </w:r>
    </w:p>
    <w:p>
      <w:pPr>
        <w:pStyle w:val="BodyText"/>
        <w:spacing w:line="480" w:lineRule="auto" w:before="0" w:after="0"/>
        <w:ind w:firstLine="720"/>
      </w:pPr>
      <w:r>
        <w:rPr>
          <w:rFonts w:ascii="Times New Roman" w:hAnsi="Times New Roman" w:eastAsia="Times New Roman" w:cs="Times New Roman"/>
          <w:sz w:val="24"/>
        </w:rPr>
        <w:t xml:space="preserve">Nor is a standard hiding somewhere else in the record. The only articulated basis Probation has ever offered for a residence decision is that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probation officer assesses whether the change is appropriate to meet the defendant’s risk and needs and whether it poses any risk to the defendant or to others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 sentence broad enough to justify any outcome and narrow enough to guide none. U.S. Courts,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Overview of Probation and Supervised Release Conditions</w:t>
      </w:r>
      <w:r>
        <w:rPr>
          <w:rFonts w:ascii="Times New Roman" w:hAnsi="Times New Roman" w:eastAsia="Times New Roman" w:cs="Times New Roman"/>
          <w:sz w:val="24"/>
        </w:rPr>
        <w:t xml:space="preserve">, ch. 2, § V (July 2024). Probation plainly knows how to write an actual standard when it wants one: its own search-and-seizure guidelines require a written plan, supervisor approval, and a defined reasonable-suspicion showing before a search of Mr. Bernecky’s own home may occur. Guide to Judiciary Policy, Vol. 8E, Appx. 3A. No comparable structure exists for a decision that can put him out of that home entirely, or bar him from speaking to another person at all.</w:t>
      </w:r>
    </w:p>
    <w:p>
      <w:pPr>
        <w:pStyle w:val="BodyText"/>
        <w:spacing w:line="480" w:lineRule="auto" w:before="0" w:after="0"/>
        <w:ind w:firstLine="720"/>
      </w:pPr>
      <w:r>
        <w:rPr>
          <w:rFonts w:ascii="Times New Roman" w:hAnsi="Times New Roman" w:eastAsia="Times New Roman" w:cs="Times New Roman"/>
          <w:sz w:val="24"/>
        </w:rPr>
        <w:t xml:space="preserve">Even given all this, Mr. Bernecky does not ask the Court to take Probation out of the business of approving a residence or permitting contact with a known felon; those are legitimate supervisory tools, and he does not dispute that Probation should have some role in exercising them. He asks only that the role be governed by a standard he can meet and point to, rather than left as an unwritten discretion that can be granted, withheld, or traded for anything a probation officer wishes, with nothing in this record or anywhere else to say otherwise.</w:t>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VIII: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directing that Mr. Bernecky be provided, before supervision begins, a defined standard or checklist governing what will satisfy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approved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under Standard Condition 5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permission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under Standard Condition 8 — so that whether he may keep a home or speak to another person turns on a standard he can meet, and point to, rather than on a probation officer’s unstated discretion to grant or withhold either at will. Mr. Bernecky reserves the right to challenge before this Court the specifics or substance of any standard or checklist Probation proposes in response to this request.</w:t>
      </w:r>
    </w:p>
    <w:bookmarkEnd w:id="32"/>
    <w:bookmarkStart w:id="34" w:name="X3b407e0129cf39be0a0c3db4a823af74b6bb8f7"/>
    <w:p>
      <w:pPr>
        <w:pStyle w:val="Heading3"/>
        <w:spacing w:line="480" w:lineRule="auto" w:before="0" w:after="0"/>
      </w:pPr>
      <w:r>
        <w:rPr>
          <w:rFonts w:ascii="Times New Roman" w:hAnsi="Times New Roman" w:eastAsia="Times New Roman" w:cs="Times New Roman"/>
          <w:sz w:val="24"/>
        </w:rPr>
        <w:t xml:space="preserve">IX. Standard Condition 12 — Risk Notification</w:t>
      </w:r>
    </w:p>
    <w:p>
      <w:pPr>
        <w:pStyle w:val="FirstParagraph"/>
        <w:spacing w:line="480" w:lineRule="auto" w:before="0" w:after="0"/>
        <w:ind w:firstLine="720"/>
      </w:pPr>
      <w:r>
        <w:rPr>
          <w:rFonts w:ascii="Times New Roman" w:hAnsi="Times New Roman" w:eastAsia="Times New Roman" w:cs="Times New Roman"/>
          <w:sz w:val="24"/>
        </w:rPr>
        <w:t xml:space="preserve">Standard Condition 12, as it appears in Mr. Bernecky’s Judgment, provides: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If the probation officer determines that you pose a risk to another person (including an organization), the probation officer may require you to notify the person about the risk and you must comply with that instruction. The probation officer may contact the person and confirm that you have notified the person about the risk.</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is the exact condition the Second Circuit later held invalid, agreeing that 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is vague and affords too much discretion to the probation officer,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vacating it as indistinguishable from the employer-notification condition already struck down for leaving an employee’s notification obligation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probation officer’s unfettered discretion.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Boles</w:t>
      </w:r>
      <w:r>
        <w:rPr>
          <w:rFonts w:ascii="Times New Roman" w:hAnsi="Times New Roman" w:eastAsia="Times New Roman" w:cs="Times New Roman"/>
          <w:sz w:val="24"/>
        </w:rPr>
        <w:t xml:space="preserve">, 914 F.3d 95, 111-12 (2d Cir. 2019) (quoting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Peterson</w:t>
      </w:r>
      <w:r>
        <w:rPr>
          <w:rFonts w:ascii="Times New Roman" w:hAnsi="Times New Roman" w:eastAsia="Times New Roman" w:cs="Times New Roman"/>
          <w:sz w:val="24"/>
        </w:rPr>
        <w:t xml:space="preserve">, 248 F.3d 79, 86 (2d Cir. 2001)).</w:t>
      </w:r>
    </w:p>
    <w:p>
      <w:pPr>
        <w:pStyle w:val="BodyText"/>
        <w:spacing w:line="480" w:lineRule="auto" w:before="0" w:after="0"/>
        <w:ind w:firstLine="720"/>
      </w:pPr>
      <w:r>
        <w:rPr>
          <w:rFonts w:ascii="Times New Roman" w:hAnsi="Times New Roman" w:eastAsia="Times New Roman" w:cs="Times New Roman"/>
          <w:sz w:val="24"/>
        </w:rPr>
        <w:t xml:space="preserve">Within two months of</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Boles</w:t>
      </w:r>
      <w:r>
        <w:rPr>
          <w:rFonts w:ascii="Times New Roman" w:hAnsi="Times New Roman" w:eastAsia="Times New Roman" w:cs="Times New Roman"/>
          <w:sz w:val="24"/>
        </w:rPr>
        <w:t xml:space="preserve">, this District entered a standing order directing that the very language Mr. Bernecky’s Judgment still contains be removed from every Judgment imposing supervision, and replaced with a version requiring the court itself — not the probation officer alone — to determine, based 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criminal record, personal history and characteristics, and the nature and circumstances of [the] offense,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a defendant poses a risk before any notification requirement attaches.</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Amended Standing Order, In re United States v. Boles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(W.D.N.Y. Mar. 22, 2019) (Geraci, C.J.). That order directs the amendment of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the Judgment and Commitment order in all criminal cases in which a term of probation or supervised release is imposed.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Mr. Bernecky’s Judgment was entered on June 12, 2018 — nine months before the standing order issued — and it was never actually conformed to it. During a pre-supervision meeting, Mr. Bernecky’s probation officer presented him with this exact, since-invalidated language and required him to sign a document acknowledging his understanding of it. He remains subject to the exact condition the Second Circuit vacated in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Boles</w:t>
      </w:r>
      <w:r>
        <w:rPr>
          <w:rFonts w:ascii="Times New Roman" w:hAnsi="Times New Roman" w:eastAsia="Times New Roman" w:cs="Times New Roman"/>
          <w:sz w:val="24"/>
        </w:rPr>
        <w:t xml:space="preserve">, in a district that has already told itself to fix it — and that, in his case, it has not.</w:t>
      </w:r>
    </w:p>
    <w:p>
      <w:pPr>
        <w:pStyle w:val="BodyText"/>
        <w:spacing w:line="480" w:lineRule="auto" w:before="0" w:after="0"/>
        <w:ind w:firstLine="720"/>
      </w:pPr>
      <w:r>
        <w:rPr>
          <w:rFonts w:ascii="Times New Roman" w:hAnsi="Times New Roman" w:eastAsia="Times New Roman" w:cs="Times New Roman"/>
          <w:sz w:val="24"/>
        </w:rPr>
        <w:t xml:space="preserve">Mr. Bernecky asks the Court to enter the same corrected language the standing order already requires for every other defendant in this district, so that before supervision begins, his Judgment reads the way</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Boles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and this District’s own order implementing it — already require.</w:t>
      </w:r>
      <w:r>
        <w:rPr>
          <w:rStyle w:val="FootnoteReference"/>
          <w:rFonts w:ascii="Times New Roman" w:hAnsi="Times New Roman" w:eastAsia="Times New Roman" w:cs="Times New Roman"/>
          <w:sz w:val="24"/>
        </w:rPr>
        <w:footnoteReference w:id="33"/>
      </w:r>
    </w:p>
    <w:p>
      <w:pPr>
        <w:pStyle w:val="BodyText"/>
        <w:spacing w:line="480" w:lineRule="auto" w:before="0" w:after="0"/>
        <w:ind w:firstLine="720"/>
      </w:pPr>
      <w:r>
        <w:rPr>
          <w:bCs/>
          <w:rFonts w:ascii="Times New Roman" w:hAnsi="Times New Roman" w:eastAsia="Times New Roman" w:cs="Times New Roman"/>
          <w:b/>
          <w:sz w:val="24"/>
        </w:rPr>
        <w:t xml:space="preserve">Requested relief as to Part IX:</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order amending Standard Condition 12 to match the language adopted by this District’s March 22, 2019 standing order following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Boles</w:t>
      </w:r>
      <w:r>
        <w:rPr>
          <w:rFonts w:ascii="Times New Roman" w:hAnsi="Times New Roman" w:eastAsia="Times New Roman" w:cs="Times New Roman"/>
          <w:sz w:val="24"/>
        </w:rPr>
        <w:t xml:space="preserve">: requiring the Court, in consultation with the probation officer and based on Mr. Bernecky’s criminal record, personal history and characteristics, and the nature and circumstances of his offense, to determine that he poses a risk before any notification requirement attaches.</w:t>
      </w:r>
    </w:p>
    <w:bookmarkEnd w:id="34"/>
    <w:bookmarkEnd w:id="35"/>
    <w:bookmarkStart w:id="36" w:name="conclusion-and-requested-relief"/>
    <w:p>
      <w:pPr>
        <w:pStyle w:val="Heading2"/>
        <w:spacing w:line="480" w:lineRule="auto" w:before="0" w:after="0"/>
        <w:jc w:val="center"/>
      </w:pPr>
      <w:r>
        <w:rPr>
          <w:rFonts w:ascii="Times New Roman" w:hAnsi="Times New Roman" w:eastAsia="Times New Roman" w:cs="Times New Roman"/>
          <w:sz w:val="24"/>
        </w:rPr>
        <w:t xml:space="preserve">CONCLUSION AND REQUESTED RELIEF</w:t>
      </w:r>
    </w:p>
    <w:p>
      <w:pPr>
        <w:pStyle w:val="FirstParagraph"/>
        <w:spacing w:line="480" w:lineRule="auto" w:before="0" w:after="0"/>
        <w:ind w:firstLine="720"/>
      </w:pPr>
      <w:r>
        <w:rPr>
          <w:rFonts w:ascii="Times New Roman" w:hAnsi="Times New Roman" w:eastAsia="Times New Roman" w:cs="Times New Roman"/>
          <w:sz w:val="24"/>
        </w:rPr>
        <w:t xml:space="preserve">Mr. Bernecky has not yet begun supervision, and that is exactly why this motion belongs before the Court now. Every condition addressed above shares the same flaw: read as written, each would reach further than anything the record shows the sentencing court actually decided. Several of them already have — the CIMP employer dispute, the minors-condition threat to a different job, and the risk-notification acknowledgment Mr. Bernecky was asked to sign all happened before supervision even started, and the same pattern will keep repeating with the next employer, the next provider, or the next officer unless the Court says otherwise. The rest have not happened yet only because they have not had the chance to. Fixing them now costs nothing; waiting for them to happen first, and litigating them through a violation proceeding after the fact, would cost Mr. Bernecky far more.</w:t>
      </w:r>
    </w:p>
    <w:p>
      <w:pPr>
        <w:pStyle w:val="BodyText"/>
        <w:spacing w:line="480" w:lineRule="auto" w:before="0" w:after="0"/>
        <w:ind w:firstLine="720"/>
      </w:pPr>
      <w:r>
        <w:rPr>
          <w:rFonts w:ascii="Times New Roman" w:hAnsi="Times New Roman" w:eastAsia="Times New Roman" w:cs="Times New Roman"/>
          <w:sz w:val="24"/>
        </w:rPr>
        <w:t xml:space="preserve">For the foregoing reasons, Mr. Bernecky respectfully requests that the Court:</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Special Condition (a): declare that, absent a U.S.S.G. § 5F1.5 finding in the record, the condition does not apply to Mr. Bernecky’s employment in any respect, regardless of what any employer’s systems can or cannot do; modify the monitoring method to exclude indiscriminate keystroke logging; and strike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or operated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or used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the condition’s device-scope clauses, leaving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owned by the defendant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the operative standard, together with a provision barring Mr. Bernecky’s personal, private possession of any smart cell phone, laptop, desktop computer, tablet, or other device capable of connecting to the internet and displaying child-pornography images, excepting employer devices necessary for work performance — all as set out in Part I;</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Special Conditions (b) and (h): provide that where Mr. Bernecky believes a rule imposed by a provider under either condition, or the provider’s application of such a rule, conditions his liberty beyond what this Court’s Judgment authorizes, he may object in writing to the probation officer and seek this Court’s clarification if overruled; that no violation report may be filed, and no violation found, based solely on a provider’s termination following such a timely objection; and that the Probation Office must arrange alternative treatment in that circumstance rather than treat the resulting absence of treatment as a violation, as set out in Part II;</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Special Condition (c): add minor family members to the condition’s existing carve-out, clarify that incidental contact in the ordinary course of public life is not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deliberate contact,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declare that the condition does not restrict Mr. Bernecky’s choice of employer or occupation, as set out in Part III;</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Special Conditions (d) and (i): clarify that Special Condition (d) requires disclosure only of the vendor’s name for transactions made by credit card, debit card, PayPal or comparable electronic payment service, or cryptocurrency, and reaches no further; and vacate Special Condition (i) upon confirmation that restitution has been paid in full, as set out in Part IV;</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Special Condition (e): strike the condition in full, as set out in Part V;</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Special Condition (g): strike, in full and without replacement, the condition’s compelled-answer sentence, its accompanying non-waiver sentence, and the now-surplus disclosure sentence, leaving Mr. Bernecky’s obligation to</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submit 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polygraph and CVSA testing otherwise intact, as set out in Part VI;</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Special Condition (h): condition alcohol abstinence on an actual physician’s contraindication finding, as set out in Part VII (in addition to the Part II protections applicable to this condition’s treatment provider);</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Standard Conditions 5 and 8: provide a defined standard or checklist for what satisfies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approved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residence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permission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felon contact, so Mr. Bernecky is not left to guess or to seek advance clearance for every decision, as set out in Part VIII;</w:t>
      </w:r>
    </w:p>
    <w:p>
      <w:pPr>
        <w:numPr>
          <w:ilvl w:val="0"/>
          <w:numId w:val="1001"/>
        </w:numPr>
        <w:pStyle w:val="Compact"/>
        <w:spacing w:line="480" w:lineRule="auto" w:before="0" w:after="0"/>
        <w:ind w:firstLine="720"/>
      </w:pPr>
      <w:r>
        <w:rPr>
          <w:rFonts w:ascii="Times New Roman" w:hAnsi="Times New Roman" w:eastAsia="Times New Roman" w:cs="Times New Roman"/>
          <w:sz w:val="24"/>
        </w:rPr>
        <w:t xml:space="preserve">As to Standard Condition 12: apply the district’s existing risk-notification standing order to Mr. Bernecky, as set out in Part IX.</w:t>
      </w:r>
    </w:p>
    <w:p>
      <w:pPr>
        <w:pStyle w:val="FirstParagraph"/>
        <w:spacing w:line="480" w:lineRule="auto" w:before="0" w:after="0"/>
      </w:pPr>
      <w:r>
        <w:rPr>
          <w:rFonts w:ascii="Times New Roman" w:hAnsi="Times New Roman" w:eastAsia="Times New Roman" w:cs="Times New Roman"/>
          <w:sz w:val="24"/>
        </w:rPr>
        <w:t xml:space="preserve">Respectfully submitted,</w:t>
      </w:r>
    </w:p>
    <w:p>
      <w:pPr>
        <w:spacing w:line="480" w:lineRule="auto" w:before="0" w:after="0"/>
      </w:pPr>
      <w:r>
        <w:rPr>
          <w:rFonts w:ascii="Times New Roman" w:hAnsi="Times New Roman" w:eastAsia="Times New Roman" w:cs="Times New Roman"/>
          <w:sz w:val="24"/>
        </w:rPr>
        <w:pict>
          <v:rect style="width:0;height:1.5pt" o:hralign="center" o:hrstd="t" o:hr="t"/>
        </w:pict>
      </w:r>
    </w:p>
    <w:p>
      <w:pPr>
        <w:pStyle w:val="FirstParagraph"/>
        <w:spacing w:line="480" w:lineRule="auto" w:before="0" w:after="0"/>
      </w:pPr>
      <w:r>
        <w:rPr>
          <w:rFonts w:ascii="Times New Roman" w:hAnsi="Times New Roman" w:eastAsia="Times New Roman" w:cs="Times New Roman"/>
          <w:sz w:val="24"/>
        </w:rPr>
        <w:t xml:space="preserve">Jeffrey Bernecky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Defendant,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Pro Se</w:t>
      </w:r>
    </w:p>
    <w:bookmarkEnd w:id="36"/>
    <w:bookmarkStart w:id="37" w:name="certificate-of-service"/>
    <w:p>
      <w:pPr>
        <w:pStyle w:val="Heading2"/>
        <w:spacing w:line="480" w:lineRule="auto" w:before="0" w:after="0"/>
        <w:jc w:val="center"/>
      </w:pPr>
      <w:r>
        <w:rPr>
          <w:rFonts w:ascii="Times New Roman" w:hAnsi="Times New Roman" w:eastAsia="Times New Roman" w:cs="Times New Roman"/>
          <w:sz w:val="24"/>
        </w:rPr>
        <w:t xml:space="preserve">CERTIFICATE OF SERVICE</w:t>
      </w:r>
    </w:p>
    <w:p>
      <w:pPr>
        <w:pStyle w:val="FirstParagraph"/>
        <w:spacing w:line="480" w:lineRule="auto" w:before="0" w:after="0"/>
        <w:ind w:firstLine="720"/>
      </w:pPr>
      <w:r>
        <w:rPr>
          <w:rFonts w:ascii="Times New Roman" w:hAnsi="Times New Roman" w:eastAsia="Times New Roman" w:cs="Times New Roman"/>
          <w:sz w:val="24"/>
        </w:rPr>
        <w:t xml:space="preserve">I hereby certify that on this ____ day of ____________, 2026, a true and correct copy of the foregoing motion was served upon the United States Attorney’s Office for the Western District of New York by the method directed by the Court’s applicable rules for filings by self-represented litigants.</w:t>
      </w:r>
    </w:p>
    <w:p>
      <w:pPr>
        <w:spacing w:line="480" w:lineRule="auto" w:before="0" w:after="0"/>
      </w:pPr>
      <w:r>
        <w:rPr>
          <w:rFonts w:ascii="Times New Roman" w:hAnsi="Times New Roman" w:eastAsia="Times New Roman" w:cs="Times New Roman"/>
          <w:sz w:val="24"/>
        </w:rPr>
        <w:pict>
          <v:rect style="width:0;height:1.5pt" o:hralign="center" o:hrstd="t" o:hr="t"/>
        </w:pict>
      </w:r>
    </w:p>
    <w:p>
      <w:pPr>
        <w:pStyle w:val="FirstParagraph"/>
        <w:spacing w:line="480" w:lineRule="auto" w:before="0" w:after="0"/>
      </w:pPr>
      <w:r>
        <w:rPr>
          <w:rFonts w:ascii="Times New Roman" w:hAnsi="Times New Roman" w:eastAsia="Times New Roman" w:cs="Times New Roman"/>
          <w:sz w:val="24"/>
        </w:rPr>
        <w:t xml:space="preserve">Jeffrey Bernecky</w:t>
      </w:r>
    </w:p>
    <w:bookmarkEnd w:id="37"/>
    <w:bookmarkEnd w:id="38"/>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spacing w:line="480" w:lineRule="auto" w:before="0" w:after="0"/>
      </w:pPr>
      <w:r>
        <w:rPr>
          <w:rFonts w:ascii="Times New Roman" w:hAnsi="Times New Roman" w:eastAsia="Times New Roman" w:cs="Times New Roman"/>
          <w:sz w:val="24"/>
        </w:rPr>
        <w:continuationSeparator/>
      </w:r>
    </w:p>
  </w:footnote>
  <w:footnote w:type="separator" w:id="-1">
    <w:p>
      <w:pPr>
        <w:spacing w:line="480" w:lineRule="auto" w:before="0" w:after="0"/>
      </w:pPr>
      <w:r>
        <w:rPr>
          <w:rFonts w:ascii="Times New Roman" w:hAnsi="Times New Roman" w:eastAsia="Times New Roman" w:cs="Times New Roman"/>
          <w:sz w:val="24"/>
        </w:rPr>
        <w:separator/>
      </w:r>
    </w:p>
  </w:footnote>
  <w:footnote w:id="27">
    <w:p>
      <w:pPr>
        <w:pStyle w:val="FootnoteText"/>
        <w:spacing w:line="480" w:lineRule="auto" w:before="0" w:after="0"/>
      </w:pPr>
      <w:r>
        <w:rPr>
          <w:rStyle w:val="FootnoteReference"/>
          <w:rFonts w:ascii="Times New Roman" w:hAnsi="Times New Roman" w:eastAsia="Times New Roman" w:cs="Times New Roman"/>
          <w:sz w:val="24"/>
        </w:rPr>
        <w:footnoteRef/>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Mr. Bernecky asserts, upon information and belief, that any records beyond credit and debit card statements, PayPal or comparable electronic fintech transaction records, and cryptocurrency wallet or exchange records — and, within those categories, anything beyond the identity of the vendor paid — would exceed what Special Condition (d) can reasonably require to accomplish its own stated purpose. He reserves the right to bring an as-applied objection should Probation ever request records beyond that scope.</w:t>
      </w:r>
    </w:p>
  </w:footnote>
  <w:footnote w:id="33">
    <w:p>
      <w:pPr>
        <w:pStyle w:val="FootnoteText"/>
        <w:spacing w:line="480" w:lineRule="auto" w:before="0" w:after="0"/>
      </w:pPr>
      <w:r>
        <w:rPr>
          <w:rStyle w:val="FootnoteReference"/>
          <w:rFonts w:ascii="Times New Roman" w:hAnsi="Times New Roman" w:eastAsia="Times New Roman" w:cs="Times New Roman"/>
          <w:sz w:val="24"/>
        </w:rPr>
        <w:footnoteRef/>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Adopting the standing order’s language does not resolve every objection Mr. Bernecky has to the mechanism it creates, and nothing in this motion should be read as consent to it. The Second Circuit has twice held that a facial challenge to this exact mechanism is premature until an actual risk determination is made.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Traficante</w:t>
      </w:r>
      <w:r>
        <w:rPr>
          <w:rFonts w:ascii="Times New Roman" w:hAnsi="Times New Roman" w:eastAsia="Times New Roman" w:cs="Times New Roman"/>
          <w:sz w:val="24"/>
        </w:rPr>
        <w:t xml:space="preserve">, 966 F.3d 99 (2d Cir. 2020);</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Birkedahl</w:t>
      </w:r>
      <w:r>
        <w:rPr>
          <w:rFonts w:ascii="Times New Roman" w:hAnsi="Times New Roman" w:eastAsia="Times New Roman" w:cs="Times New Roman"/>
          <w:sz w:val="24"/>
        </w:rPr>
        <w:t xml:space="preserve">, 973 F.3d 49 (2d Cir. 2020). In light of that authority, Mr. Bernecky asks only that the corrected language be properly applied to him now, and reserves the right to bring an as-applied challenge if and when a risk determination is actually made. In a nutshell, that challenge would be this: the consequence of a risk determination is not abstract. It means Probation actually contacting a specific person — an employer, a neighbor, a family member — and telling that person Mr. Bernecky poses a risk to them. That contact cannot be undone once made, and nothing in the standing order requires that it be preceded by notice to Mr. Bernecky, disclosure of the basis for the determination, an opportunity to contest it, or any hearing at all before the call is made. The Second Circuit has itself recognized that a risk finding of this kind would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enlarge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defendant’s conditions, entitling him to a hearing under Rule 32.1(c).</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Traficante</w:t>
      </w:r>
      <w:r>
        <w:rPr>
          <w:rFonts w:ascii="Times New Roman" w:hAnsi="Times New Roman" w:eastAsia="Times New Roman" w:cs="Times New Roman"/>
          <w:sz w:val="24"/>
        </w:rPr>
        <w:t xml:space="preserve">, 966 F.3d at 108 (citing</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United States v. Murdock</w:t>
      </w:r>
      <w:r>
        <w:rPr>
          <w:rFonts w:ascii="Times New Roman" w:hAnsi="Times New Roman" w:eastAsia="Times New Roman" w:cs="Times New Roman"/>
          <w:sz w:val="24"/>
        </w:rPr>
        <w:t xml:space="preserve">, 735 F.3d 106, 114 (2d Cir. 2013)). Reaching that determination through an unreviewed consultation between the Court and a single officer, with no adversarial testing of whatever information supports it, falls well short of the notice, disclosure, and opportunity to be heard due process requires before a comparable liberty-restricting determination.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Morrissey v. Brewer</w:t>
      </w:r>
      <w:r>
        <w:rPr>
          <w:rFonts w:ascii="Times New Roman" w:hAnsi="Times New Roman" w:eastAsia="Times New Roman" w:cs="Times New Roman"/>
          <w:sz w:val="24"/>
        </w:rPr>
        <w:t xml:space="preserve">, 408 U.S. 471, 489 (1972);</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Gagnon v. Scarpelli</w:t>
      </w:r>
      <w:r>
        <w:rPr>
          <w:rFonts w:ascii="Times New Roman" w:hAnsi="Times New Roman" w:eastAsia="Times New Roman" w:cs="Times New Roman"/>
          <w:sz w:val="24"/>
        </w:rPr>
        <w:t xml:space="preserve">, 411 U.S. 778, 782, 786 (1973) (extending the identical requirements to probationers).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2026-07-18T18:50:29Z</dcterms:created>
  <dcterms:modified xsi:type="dcterms:W3CDTF">2026-07-18T18:50:29Z</dcterms:modified>
</cp:coreProperties>
</file>

<file path=docProps/custom.xml><?xml version="1.0" encoding="utf-8"?>
<Properties xmlns="http://schemas.openxmlformats.org/officeDocument/2006/custom-properties" xmlns:vt="http://schemas.openxmlformats.org/officeDocument/2006/docPropsVTypes"/>
</file>