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line="276" w:lineRule="auto"/>
        <w:jc w:val="left"/>
      </w:pPr>
      <w:r>
        <w:rPr>
          <w:rFonts w:ascii="Times New Roman" w:hAnsi="Times New Roman" w:cs="Times New Roman"/>
          <w:b/>
          <w:sz w:val="22"/>
        </w:rPr>
        <w:t xml:space="preserve">DRAFTER’S NOTE — REMOVE THIS PAGE BEFORE FILING</w:t>
      </w:r>
    </w:p>
    <w:p>
      <w:pPr>
        <w:spacing w:after="240" w:line="276" w:lineRule="auto"/>
        <w:jc w:val="left"/>
      </w:pPr>
      <w:r>
        <w:rPr>
          <w:rFonts w:ascii="Times New Roman" w:hAnsi="Times New Roman" w:cs="Times New Roman"/>
          <w:b/>
          <w:sz w:val="22"/>
        </w:rPr>
        <w:t xml:space="preserve">Must be completed by Kumar (only with true facts):</w:t>
      </w:r>
      <w:r>
        <w:rPr>
          <w:rFonts w:ascii="Times New Roman" w:hAnsi="Times New Roman" w:cs="Times New Roman"/>
          <w:sz w:val="22"/>
        </w:rPr>
        <w:t xml:space="preserve"> ¶ 4 of Part I; the Declaration (Attachment A); signature, dates, and mailing address (East P.O. Box 2000 or West P.O. Box 7000 — confirm which compound he is in); the certificate of service and inmate-filing declaration dates.</w:t>
      </w:r>
    </w:p>
    <w:p>
      <w:pPr>
        <w:spacing w:after="240" w:line="276" w:lineRule="auto"/>
        <w:jc w:val="left"/>
      </w:pPr>
      <w:r>
        <w:rPr>
          <w:rFonts w:ascii="Times New Roman" w:hAnsi="Times New Roman" w:cs="Times New Roman"/>
          <w:b/>
          <w:sz w:val="22"/>
        </w:rPr>
        <w:t xml:space="preserve">Check on the day of filing:</w:t>
      </w:r>
      <w:r>
        <w:rPr>
          <w:rFonts w:ascii="Times New Roman" w:hAnsi="Times New Roman" w:cs="Times New Roman"/>
          <w:sz w:val="22"/>
        </w:rPr>
        <w:t xml:space="preserve"> (1) the First Circuit docket for any order after 9/30/2026 (ruling on the summary disposition motion, any order on this response); (2) which 8/24/2026 docket entry is the operative brief (the 70-page file is labeled “Disclosure statement,” the 8-page file “Appellant’s brief”); (3) the current number of paper copies the clerk requires from pro se filers.</w:t>
      </w:r>
    </w:p>
    <w:p>
      <w:pPr>
        <w:spacing w:after="240" w:line="276" w:lineRule="auto"/>
        <w:jc w:val="left"/>
      </w:pPr>
      <w:r>
        <w:rPr>
          <w:rFonts w:ascii="Times New Roman" w:hAnsi="Times New Roman" w:cs="Times New Roman"/>
          <w:b/>
          <w:sz w:val="22"/>
        </w:rPr>
        <w:t xml:space="preserve">Verify before filing (not independently confirmed):</w:t>
      </w:r>
      <w:r>
        <w:rPr>
          <w:rFonts w:ascii="Times New Roman" w:hAnsi="Times New Roman" w:cs="Times New Roman"/>
          <w:sz w:val="22"/>
        </w:rPr>
        <w:t xml:space="preserve"> FRAP 26(b), 26(c), 27(a)(3)(A) and 25(a)(2)(A)(iii) text in the current Rulebook; the 1st Cir. R. 27.0(c) quotation; </w:t>
      </w:r>
      <w:r>
        <w:rPr>
          <w:rFonts w:ascii="Times New Roman" w:hAnsi="Times New Roman" w:cs="Times New Roman"/>
          <w:i/>
          <w:sz w:val="22"/>
        </w:rPr>
        <w:t xml:space="preserve">Hill</w:t>
      </w:r>
      <w:r>
        <w:rPr>
          <w:rFonts w:ascii="Times New Roman" w:hAnsi="Times New Roman" w:cs="Times New Roman"/>
          <w:sz w:val="22"/>
        </w:rPr>
        <w:t xml:space="preserve">, 474 U.S. at 59; </w:t>
      </w:r>
      <w:r>
        <w:rPr>
          <w:rFonts w:ascii="Times New Roman" w:hAnsi="Times New Roman" w:cs="Times New Roman"/>
          <w:i/>
          <w:sz w:val="22"/>
        </w:rPr>
        <w:t xml:space="preserve">Tollett</w:t>
      </w:r>
      <w:r>
        <w:rPr>
          <w:rFonts w:ascii="Times New Roman" w:hAnsi="Times New Roman" w:cs="Times New Roman"/>
          <w:sz w:val="22"/>
        </w:rPr>
        <w:t xml:space="preserve">, 411 U.S. at 267 (the quoted sentence); </w:t>
      </w:r>
      <w:r>
        <w:rPr>
          <w:rFonts w:ascii="Times New Roman" w:hAnsi="Times New Roman" w:cs="Times New Roman"/>
          <w:i/>
          <w:sz w:val="22"/>
        </w:rPr>
        <w:t xml:space="preserve">Dugas</w:t>
      </w:r>
      <w:r>
        <w:rPr>
          <w:rFonts w:ascii="Times New Roman" w:hAnsi="Times New Roman" w:cs="Times New Roman"/>
          <w:sz w:val="22"/>
        </w:rPr>
        <w:t xml:space="preserve"> quotations and pinpoints (506 F.3d 1, quotations taken from a prior research file, pinpoints not confirmed); </w:t>
      </w:r>
      <w:r>
        <w:rPr>
          <w:rFonts w:ascii="Times New Roman" w:hAnsi="Times New Roman" w:cs="Times New Roman"/>
          <w:i/>
          <w:sz w:val="22"/>
        </w:rPr>
        <w:t xml:space="preserve">Caramadre</w:t>
      </w:r>
      <w:r>
        <w:rPr>
          <w:rFonts w:ascii="Times New Roman" w:hAnsi="Times New Roman" w:cs="Times New Roman"/>
          <w:sz w:val="22"/>
        </w:rPr>
        <w:t xml:space="preserve">, 807 F.3d at 371 (quoted as the Government quotes it); </w:t>
      </w:r>
      <w:r>
        <w:rPr>
          <w:rFonts w:ascii="Times New Roman" w:hAnsi="Times New Roman" w:cs="Times New Roman"/>
          <w:i/>
          <w:sz w:val="22"/>
        </w:rPr>
        <w:t xml:space="preserve">Miller-El</w:t>
      </w:r>
      <w:r>
        <w:rPr>
          <w:rFonts w:ascii="Times New Roman" w:hAnsi="Times New Roman" w:cs="Times New Roman"/>
          <w:sz w:val="22"/>
        </w:rPr>
        <w:t xml:space="preserve"> quotations (taken from ECF 141, which quotes them); 28 U.S.C. § 2255(b) text. Quotations from ECF 75, 122, 122-1, 122-2, 130 and the Government’s motion were taken from the copies on the Drive; quotations from ECF 137, 139 and 141 were taken from the docket text in the PACER docket report, so compare them with the orders themselves. Pages cited for ECF 122 and 130 are the PDF page numbers (“Page x of y”).</w:t>
      </w:r>
    </w:p>
    <w:p>
      <w:pPr>
        <w:spacing w:after="240" w:line="276" w:lineRule="auto"/>
        <w:jc w:val="left"/>
      </w:pPr>
      <w:r>
        <w:rPr>
          <w:rFonts w:ascii="Times New Roman" w:hAnsi="Times New Roman" w:cs="Times New Roman"/>
          <w:b/>
          <w:sz w:val="22"/>
        </w:rPr>
        <w:t xml:space="preserve">Choices made in this draft (change if you disagree):</w:t>
      </w:r>
      <w:r>
        <w:rPr>
          <w:rFonts w:ascii="Times New Roman" w:hAnsi="Times New Roman" w:cs="Times New Roman"/>
          <w:sz w:val="22"/>
        </w:rPr>
        <w:t xml:space="preserve"> (a) concedes that no proffer letter would have protected the February 27, 2020 false statements (Count 3), as Kumar’s own brief already does; (b) does not ask to vacate the 9/30 stay (a plain denial of the motion ends it in practice; a request to vacate would be a separate fight); (c) does not apply to expand the certificate of appealability; Part IV.F is a neutral reservation that neither concedes nor asserts any defect in Judge Wolf’s certificate; (d) does not mention that Kumar filed his opening brief on 8/24/2026, a week after the 8/17 briefing schedule (the Government may raise it); (e) delay claim is kept short and does not argue the ECF 58-1 exhibits, which hurt on motive (the 7/30/2020 emails about pushing out the indictment deadline for plea negotiations).</w:t>
      </w:r>
    </w:p>
    <w:p>
      <w:pPr>
        <w:spacing w:after="240" w:line="276" w:lineRule="auto"/>
        <w:jc w:val="left"/>
      </w:pPr>
      <w:r>
        <w:rPr>
          <w:rFonts w:ascii="Times New Roman" w:hAnsi="Times New Roman" w:cs="Times New Roman"/>
          <w:b/>
          <w:sz w:val="22"/>
        </w:rPr>
        <w:t xml:space="preserve">Known weaknesses:</w:t>
      </w:r>
      <w:r>
        <w:rPr>
          <w:rFonts w:ascii="Times New Roman" w:hAnsi="Times New Roman" w:cs="Times New Roman"/>
          <w:sz w:val="22"/>
        </w:rPr>
        <w:t xml:space="preserve"> a COA does not preclude summary affirmance; the Government will say Counts 1-2 rest on evidence independent of anything Kumar said (the PSR); the prejudice theory depends on facts nobody has found; this response is late, and the court may not accept good cause on a record-only showing.</w:t>
      </w:r>
    </w:p>
    <w:p>
      <w:r>
        <w:br w:type="page"/>
      </w:r>
    </w:p>
    <w:p>
      <w:pPr>
        <w:spacing w:after="240" w:line="312" w:lineRule="auto"/>
        <w:jc w:val="center"/>
      </w:pPr>
      <w:r>
        <w:rPr>
          <w:rFonts w:ascii="Times New Roman" w:hAnsi="Times New Roman" w:cs="Times New Roman"/>
          <w:b/>
          <w:sz w:val="28"/>
        </w:rPr>
        <w:t xml:space="preserve">UNITED STATES COURT OF APPEALS</w:t>
      </w:r>
      <w:r>
        <w:br/>
      </w:r>
      <w:r>
        <w:rPr>
          <w:rFonts w:ascii="Times New Roman" w:hAnsi="Times New Roman" w:cs="Times New Roman"/>
          <w:b/>
          <w:sz w:val="28"/>
        </w:rPr>
        <w:t xml:space="preserve">FOR THE FIRST CIRCUIT</w:t>
      </w:r>
    </w:p>
    <w:p>
      <w:pPr>
        <w:spacing w:after="240" w:line="312" w:lineRule="auto"/>
        <w:jc w:val="center"/>
      </w:pPr>
      <w:r>
        <w:rPr>
          <w:rFonts w:ascii="Times New Roman" w:hAnsi="Times New Roman" w:cs="Times New Roman"/>
          <w:sz w:val="28"/>
        </w:rPr>
        <w:t xml:space="preserve">No. 26-1250</w:t>
      </w:r>
    </w:p>
    <w:p>
      <w:pPr>
        <w:spacing w:after="240" w:line="312" w:lineRule="auto"/>
        <w:jc w:val="center"/>
      </w:pPr>
      <w:r>
        <w:rPr>
          <w:rFonts w:ascii="Times New Roman" w:hAnsi="Times New Roman" w:cs="Times New Roman"/>
          <w:sz w:val="28"/>
        </w:rPr>
        <w:t xml:space="preserve">MANISH KUMAR,</w:t>
      </w:r>
      <w:r>
        <w:br/>
      </w:r>
      <w:r>
        <w:rPr>
          <w:rFonts w:ascii="Times New Roman" w:hAnsi="Times New Roman" w:cs="Times New Roman"/>
          <w:sz w:val="28"/>
        </w:rPr>
        <w:t xml:space="preserve">Petitioner-Appellant,</w:t>
      </w:r>
    </w:p>
    <w:p>
      <w:pPr>
        <w:spacing w:after="240" w:line="312" w:lineRule="auto"/>
        <w:jc w:val="center"/>
      </w:pPr>
      <w:r>
        <w:rPr>
          <w:rFonts w:ascii="Times New Roman" w:hAnsi="Times New Roman" w:cs="Times New Roman"/>
          <w:sz w:val="28"/>
        </w:rPr>
        <w:t xml:space="preserve">v.</w:t>
      </w:r>
    </w:p>
    <w:p>
      <w:pPr>
        <w:spacing w:after="240" w:line="312" w:lineRule="auto"/>
        <w:jc w:val="center"/>
      </w:pPr>
      <w:r>
        <w:rPr>
          <w:rFonts w:ascii="Times New Roman" w:hAnsi="Times New Roman" w:cs="Times New Roman"/>
          <w:sz w:val="28"/>
        </w:rPr>
        <w:t xml:space="preserve">UNITED STATES OF AMERICA,</w:t>
      </w:r>
      <w:r>
        <w:br/>
      </w:r>
      <w:r>
        <w:rPr>
          <w:rFonts w:ascii="Times New Roman" w:hAnsi="Times New Roman" w:cs="Times New Roman"/>
          <w:sz w:val="28"/>
        </w:rPr>
        <w:t xml:space="preserve">Respondent-Appellee.</w:t>
      </w:r>
    </w:p>
    <w:p>
      <w:pPr>
        <w:spacing w:after="240" w:line="312" w:lineRule="auto"/>
        <w:jc w:val="center"/>
      </w:pPr>
      <w:r>
        <w:rPr>
          <w:rFonts w:ascii="Times New Roman" w:hAnsi="Times New Roman" w:cs="Times New Roman"/>
          <w:b/>
          <w:sz w:val="28"/>
        </w:rPr>
        <w:t xml:space="preserve">APPELLANT’S MOTION FOR LEAVE TO FILE RESPONSE OUT OF TIME AND RESPONSE IN OPPOSITION TO APPELLEE’S MOTION FOR SUMMARY DISPOSITION</w:t>
      </w:r>
    </w:p>
    <w:p>
      <w:pPr>
        <w:spacing w:after="240" w:line="480" w:lineRule="auto"/>
        <w:jc w:val="left"/>
      </w:pPr>
      <w:r>
        <w:rPr>
          <w:rFonts w:ascii="Times New Roman" w:hAnsi="Times New Roman" w:cs="Times New Roman"/>
          <w:sz w:val="28"/>
        </w:rPr>
        <w:t xml:space="preserve">Appellant Manish Kumar, pro se, asks the Court (1) for leave under Fed. R. App. P. 26(b) to file this response after the date it was due, and (2) to deny the Government’s motion for summary disposition under 1st Cir. R. 27.0(c). On September 30, 2026, the Court granted the Government’s motion to stay briefing as unopposed. The Court has not ruled on the motion for summary disposition.</w:t>
      </w:r>
    </w:p>
    <w:p>
      <w:pPr>
        <w:keepNext/>
        <w:spacing w:after="240" w:line="312" w:lineRule="auto"/>
        <w:jc w:val="left"/>
      </w:pPr>
      <w:r>
        <w:rPr>
          <w:rFonts w:ascii="Times New Roman" w:hAnsi="Times New Roman" w:cs="Times New Roman"/>
          <w:b/>
          <w:sz w:val="28"/>
        </w:rPr>
        <w:t xml:space="preserve">I. MOTION FOR LEAVE TO FILE OUT OF TIME</w:t>
      </w:r>
    </w:p>
    <w:p>
      <w:pPr>
        <w:spacing w:after="240" w:line="480" w:lineRule="auto"/>
        <w:jc w:val="left"/>
      </w:pPr>
      <w:r>
        <w:rPr>
          <w:rFonts w:ascii="Times New Roman" w:hAnsi="Times New Roman" w:cs="Times New Roman"/>
          <w:sz w:val="28"/>
        </w:rPr>
        <w:t xml:space="preserve">1. The Government served its motion by first-class mail on September 11, 2026, addressed to Mr. Kumar at FCI Fort Dix. (Gov’t Mot. for Summary Disposition, Certificate of Service.) A response to a motion is due 10 days after service, Fed. R. App. P. 27(a)(3)(A), plus three days when service is by mail, Fed. R. App. P. 26(c). That date was September 24, 2026.</w:t>
      </w:r>
    </w:p>
    <w:p>
      <w:pPr>
        <w:spacing w:after="240" w:line="480" w:lineRule="auto"/>
        <w:jc w:val="left"/>
      </w:pPr>
      <w:r>
        <w:rPr>
          <w:rFonts w:ascii="Times New Roman" w:hAnsi="Times New Roman" w:cs="Times New Roman"/>
          <w:sz w:val="28"/>
        </w:rPr>
        <w:t xml:space="preserve">2. Rule 26(b) provides that “[f]or good cause, the court may extend the time prescribed by these rules or by its order to perform any act, or may permit an act to be done after that time expires.”</w:t>
      </w:r>
    </w:p>
    <w:p>
      <w:pPr>
        <w:spacing w:after="240" w:line="480" w:lineRule="auto"/>
        <w:jc w:val="left"/>
      </w:pPr>
      <w:r>
        <w:rPr>
          <w:rFonts w:ascii="Times New Roman" w:hAnsi="Times New Roman" w:cs="Times New Roman"/>
          <w:sz w:val="28"/>
        </w:rPr>
        <w:t xml:space="preserve">3. Good cause exists. Mr. Kumar is a federal prisoner, proceeding pro se, who depends on the prison mail system. The record in this case shows that court mail has not reliably reached him. On April 17, 2026, the district court found that he “adequately claims that he did not receive notice of entry of the Order within 21 days of its entry,” noted that “[t]he docket also does not indicate if the Order was mailed to Mr. Kumar at the prison facility where he is imprisoned,” and concluded that “[t]hese facts cumulatively provide sufficient evidence that Mr. Kumar did not receive notice of the Order.” D. Mass. ECF 137. The court reopened his time to appeal, and noted that the Government “did not oppose the Motion or contest the Declaration.” </w:t>
      </w:r>
      <w:r>
        <w:rPr>
          <w:rFonts w:ascii="Times New Roman" w:hAnsi="Times New Roman" w:cs="Times New Roman"/>
          <w:i/>
          <w:sz w:val="28"/>
        </w:rPr>
        <w:t xml:space="preserve">Id.</w:t>
      </w:r>
      <w:r>
        <w:rPr>
          <w:rFonts w:ascii="Times New Roman" w:hAnsi="Times New Roman" w:cs="Times New Roman"/>
          <w:sz w:val="28"/>
        </w:rPr>
        <w:t xml:space="preserve"> On May 4, 2026, the district court docket recorded: “Mail sent to Manish Kumar Returned as Undeliverable.” D. Mass. ECF 139.</w:t>
      </w:r>
    </w:p>
    <w:p>
      <w:pPr>
        <w:spacing w:after="240" w:line="480" w:lineRule="auto"/>
        <w:jc w:val="left"/>
      </w:pPr>
      <w:r>
        <w:rPr>
          <w:rFonts w:ascii="Times New Roman" w:hAnsi="Times New Roman" w:cs="Times New Roman"/>
          <w:sz w:val="28"/>
        </w:rPr>
        <w:t xml:space="preserve">4. [KUMAR: KEEP THIS PARAGRAPH ONLY IF IT IS TRUE AND MATCHES YOUR DECLARATION (ATTACHMENT A). OTHERWISE DELETE IT.] As set out in the attached declaration, Mr. Kumar first learned of the Government’s motion for summary disposition on or about [DATE], and first learned that the certificate of appealability had been limited to two issues on or about [DATE].</w:t>
      </w:r>
    </w:p>
    <w:p>
      <w:pPr>
        <w:spacing w:after="240" w:line="480" w:lineRule="auto"/>
        <w:jc w:val="left"/>
      </w:pPr>
      <w:r>
        <w:rPr>
          <w:rFonts w:ascii="Times New Roman" w:hAnsi="Times New Roman" w:cs="Times New Roman"/>
          <w:sz w:val="28"/>
        </w:rPr>
        <w:t xml:space="preserve">5. The Government is not prejudiced. At its own request briefing is stayed, its brief is not due, and the Court has not acted on its motion. A response filed now costs the Government nothing. Mr. Kumar asks the Court to consider it.</w:t>
      </w:r>
    </w:p>
    <w:p>
      <w:pPr>
        <w:keepNext/>
        <w:spacing w:after="240" w:line="312" w:lineRule="auto"/>
        <w:jc w:val="left"/>
      </w:pPr>
      <w:r>
        <w:rPr>
          <w:rFonts w:ascii="Times New Roman" w:hAnsi="Times New Roman" w:cs="Times New Roman"/>
          <w:b/>
          <w:sz w:val="28"/>
        </w:rPr>
        <w:t xml:space="preserve">II. WHY SUMMARY DISPOSITION SHOULD BE DENIED</w:t>
      </w:r>
    </w:p>
    <w:p>
      <w:pPr>
        <w:spacing w:after="240" w:line="480" w:lineRule="auto"/>
        <w:jc w:val="left"/>
      </w:pPr>
      <w:r>
        <w:rPr>
          <w:rFonts w:ascii="Times New Roman" w:hAnsi="Times New Roman" w:cs="Times New Roman"/>
          <w:b/>
          <w:sz w:val="28"/>
        </w:rPr>
        <w:t xml:space="preserve">A. The standard.</w:t>
      </w:r>
      <w:r>
        <w:rPr>
          <w:rFonts w:ascii="Times New Roman" w:hAnsi="Times New Roman" w:cs="Times New Roman"/>
          <w:sz w:val="28"/>
        </w:rPr>
        <w:t xml:space="preserve"> Under 1st Cir. R. 27.0(c), the Court may affirm “if it shall clearly appear that no substantial question is presented.” The question is not whether the Government will probably win. It is whether it clearly appears that nothing substantial remains to be decided. That standard is not met where, as here, the claim turns on facts that no court has found.</w:t>
      </w:r>
    </w:p>
    <w:p>
      <w:pPr>
        <w:spacing w:after="240" w:line="480" w:lineRule="auto"/>
        <w:jc w:val="left"/>
      </w:pPr>
      <w:r>
        <w:rPr>
          <w:rFonts w:ascii="Times New Roman" w:hAnsi="Times New Roman" w:cs="Times New Roman"/>
          <w:b/>
          <w:sz w:val="28"/>
        </w:rPr>
        <w:t xml:space="preserve">B. The district court has already found this issue debatable.</w:t>
      </w:r>
      <w:r>
        <w:rPr>
          <w:rFonts w:ascii="Times New Roman" w:hAnsi="Times New Roman" w:cs="Times New Roman"/>
          <w:sz w:val="28"/>
        </w:rPr>
        <w:t xml:space="preserve"> Judge Kelley certified the proffer-protection claim, and explained why:</w:t>
      </w:r>
    </w:p>
    <w:p>
      <w:pPr>
        <w:spacing w:after="240" w:line="288" w:lineRule="auto"/>
        <w:ind w:left="864" w:right="864"/>
        <w:jc w:val="left"/>
      </w:pPr>
      <w:r>
        <w:rPr>
          <w:rFonts w:ascii="Times New Roman" w:hAnsi="Times New Roman" w:cs="Times New Roman"/>
          <w:sz w:val="28"/>
        </w:rPr>
        <w:t xml:space="preserve">“Reasonable jurists could disagree with this finding, as well as with whether counsel’s failure to obtain an immunity agreement caused Defendant to suffer prejudice. Accordingly, the Court will issue a Certificate of Appealability as to this ground.” D. Mass. ECF 141.</w:t>
      </w:r>
    </w:p>
    <w:p>
      <w:pPr>
        <w:spacing w:after="240" w:line="480" w:lineRule="auto"/>
        <w:jc w:val="left"/>
      </w:pPr>
      <w:r>
        <w:rPr>
          <w:rFonts w:ascii="Times New Roman" w:hAnsi="Times New Roman" w:cs="Times New Roman"/>
          <w:sz w:val="28"/>
        </w:rPr>
        <w:t xml:space="preserve">A certificate issues when “jurists could disagree with the district court’s resolution of his constitutional claims or … jurists could conclude the issues presented are adequate to deserve encouragement to proceed further,” and a claim can be debatable “even though every jurist of reason might agree, after the certificate of appealability has been granted and the case has received full consideration, that petitioner will not prevail.” </w:t>
      </w:r>
      <w:r>
        <w:rPr>
          <w:rFonts w:ascii="Times New Roman" w:hAnsi="Times New Roman" w:cs="Times New Roman"/>
          <w:i/>
          <w:sz w:val="28"/>
        </w:rPr>
        <w:t xml:space="preserve">Miller-El v. Cockrell</w:t>
      </w:r>
      <w:r>
        <w:rPr>
          <w:rFonts w:ascii="Times New Roman" w:hAnsi="Times New Roman" w:cs="Times New Roman"/>
          <w:sz w:val="28"/>
        </w:rPr>
        <w:t xml:space="preserve">, 537 U.S. 322, 327, 338 (2003). A certificate does not by itself bar summary affirmance. But a claim that a district judge has just found debatable among jurists of reason cannot “clearly” present “no substantial question.” The Government’s motion notes that a certificate issued (Mot. 5), but does not mention this finding.</w:t>
      </w:r>
    </w:p>
    <w:p>
      <w:pPr>
        <w:keepNext/>
        <w:spacing w:after="240" w:line="312" w:lineRule="auto"/>
        <w:jc w:val="left"/>
      </w:pPr>
      <w:r>
        <w:rPr>
          <w:rFonts w:ascii="Times New Roman" w:hAnsi="Times New Roman" w:cs="Times New Roman"/>
          <w:b/>
          <w:sz w:val="28"/>
        </w:rPr>
        <w:t xml:space="preserve">III. THE RECORD ON THE PROFFER CLAIM</w:t>
      </w:r>
    </w:p>
    <w:p>
      <w:pPr>
        <w:spacing w:after="240" w:line="480" w:lineRule="auto"/>
        <w:jc w:val="left"/>
      </w:pPr>
      <w:r>
        <w:rPr>
          <w:rFonts w:ascii="Times New Roman" w:hAnsi="Times New Roman" w:cs="Times New Roman"/>
          <w:sz w:val="28"/>
        </w:rPr>
        <w:t xml:space="preserve">The following facts come from the district court record, including the Government’s own filings.</w:t>
      </w:r>
    </w:p>
    <w:p>
      <w:pPr>
        <w:spacing w:after="240" w:line="480" w:lineRule="auto"/>
        <w:jc w:val="left"/>
      </w:pPr>
      <w:r>
        <w:rPr>
          <w:rFonts w:ascii="Times New Roman" w:hAnsi="Times New Roman" w:cs="Times New Roman"/>
          <w:sz w:val="28"/>
        </w:rPr>
        <w:t xml:space="preserve">• Beginning on the day of his arrest, August 25, 2019, and ending on February 27, 2020, Mr. Kumar met with federal authorities, “including in the District of Massachusetts.” “During eleven proffer sessions, Kumar provided information and authorized federal investigators to access various personal electronic devices and his Apple ID and email accounts.” D. Mass. ECF 130 at 3-4.</w:t>
      </w:r>
    </w:p>
    <w:p>
      <w:pPr>
        <w:spacing w:after="240" w:line="480" w:lineRule="auto"/>
        <w:jc w:val="left"/>
      </w:pPr>
      <w:r>
        <w:rPr>
          <w:rFonts w:ascii="Times New Roman" w:hAnsi="Times New Roman" w:cs="Times New Roman"/>
          <w:sz w:val="28"/>
        </w:rPr>
        <w:t xml:space="preserve">• He had a written proffer letter from the District of Rhode Island, dated August 27, 2019. D. Mass. ECF 122-1. The Government “cannot locate a signed copy of the proffer letter.” D. Mass. ECF 122 at 3 n.2. He had no proffer letter from the District of Massachusetts. </w:t>
      </w:r>
      <w:r>
        <w:rPr>
          <w:rFonts w:ascii="Times New Roman" w:hAnsi="Times New Roman" w:cs="Times New Roman"/>
          <w:i/>
          <w:sz w:val="28"/>
        </w:rPr>
        <w:t xml:space="preserve">Id.</w:t>
      </w:r>
      <w:r>
        <w:rPr>
          <w:rFonts w:ascii="Times New Roman" w:hAnsi="Times New Roman" w:cs="Times New Roman"/>
          <w:sz w:val="28"/>
        </w:rPr>
        <w:t xml:space="preserve"> at 3.</w:t>
      </w:r>
    </w:p>
    <w:p>
      <w:pPr>
        <w:spacing w:after="240" w:line="480" w:lineRule="auto"/>
        <w:jc w:val="left"/>
      </w:pPr>
      <w:r>
        <w:rPr>
          <w:rFonts w:ascii="Times New Roman" w:hAnsi="Times New Roman" w:cs="Times New Roman"/>
          <w:sz w:val="28"/>
        </w:rPr>
        <w:t xml:space="preserve">• Paragraph 1 of the Rhode Island letter provides: “No proffered statement or other information provided by your client will be used against him directly in the case-in-chief of any criminal case, provided that his statements and information are completely truthful and candid.” D. Mass. ECF 122-1 at 1.</w:t>
      </w:r>
    </w:p>
    <w:p>
      <w:pPr>
        <w:spacing w:after="240" w:line="480" w:lineRule="auto"/>
        <w:jc w:val="left"/>
      </w:pPr>
      <w:r>
        <w:rPr>
          <w:rFonts w:ascii="Times New Roman" w:hAnsi="Times New Roman" w:cs="Times New Roman"/>
          <w:sz w:val="28"/>
        </w:rPr>
        <w:t xml:space="preserve">• On February 27, 2020, Mr. Kumar met with Massachusetts prosecutors and agents in Boston, with counsel. His statements at that meeting are the basis for Count 3. D. Mass. ECF 130 at 4; ECF 122-2 ¶ 3.</w:t>
      </w:r>
    </w:p>
    <w:p>
      <w:pPr>
        <w:spacing w:after="240" w:line="480" w:lineRule="auto"/>
        <w:jc w:val="left"/>
      </w:pPr>
      <w:r>
        <w:rPr>
          <w:rFonts w:ascii="Times New Roman" w:hAnsi="Times New Roman" w:cs="Times New Roman"/>
          <w:sz w:val="28"/>
        </w:rPr>
        <w:t xml:space="preserve">• The Government states that, before that meeting, “the government was not investigating the defendant for drug crimes. He was a cooperating witness.” D. Mass. ECF 122 at 14 n.5. Judge Wolf found that “[t]he information Kumar provided in his last proffer session was the starting point for the government’s investigation of him.” D. Mass. ECF 130 at 20.</w:t>
      </w:r>
    </w:p>
    <w:p>
      <w:pPr>
        <w:spacing w:after="240" w:line="480" w:lineRule="auto"/>
        <w:jc w:val="left"/>
      </w:pPr>
      <w:r>
        <w:rPr>
          <w:rFonts w:ascii="Times New Roman" w:hAnsi="Times New Roman" w:cs="Times New Roman"/>
          <w:sz w:val="28"/>
        </w:rPr>
        <w:t xml:space="preserve">• Defense counsel told the district court that “[t]he primary evidence in support of the charges comes from the statements Mr. Kumar made to law enforcement during the investigation, and the data from his personal electronics which he gave to law enforcement.” D. Mass. ECF 75 at 2.</w:t>
      </w:r>
    </w:p>
    <w:p>
      <w:pPr>
        <w:spacing w:after="240" w:line="480" w:lineRule="auto"/>
        <w:jc w:val="left"/>
      </w:pPr>
      <w:r>
        <w:rPr>
          <w:rFonts w:ascii="Times New Roman" w:hAnsi="Times New Roman" w:cs="Times New Roman"/>
          <w:sz w:val="28"/>
        </w:rPr>
        <w:t xml:space="preserve">• The Government asked the district court to deny the motion “without holding an evidentiary hearing.” D. Mass. ECF 122 at 1. The docket reflects none. Judge Wolf denied the claim on the papers, reasoning that “[p]roffer letters typically do not protect a person from prosecution for making false statements,” that Mr. Kumar had not shown “that the Rhode Island letter was binding on the federal prosecutors in other jurisdictions, including Massachusetts,” and that “there is no evidence that the agreement would have protected against the derivative use of Kumar’s statements.” D. Mass. ECF 130 at 13-14.</w:t>
      </w:r>
    </w:p>
    <w:p>
      <w:pPr>
        <w:keepNext/>
        <w:spacing w:after="240" w:line="312" w:lineRule="auto"/>
        <w:jc w:val="left"/>
      </w:pPr>
      <w:r>
        <w:rPr>
          <w:rFonts w:ascii="Times New Roman" w:hAnsi="Times New Roman" w:cs="Times New Roman"/>
          <w:b/>
          <w:sz w:val="28"/>
        </w:rPr>
        <w:t xml:space="preserve">IV. ARGUMENT</w:t>
      </w:r>
    </w:p>
    <w:p>
      <w:pPr>
        <w:spacing w:after="240" w:line="480" w:lineRule="auto"/>
        <w:jc w:val="left"/>
      </w:pPr>
      <w:r>
        <w:rPr>
          <w:rFonts w:ascii="Times New Roman" w:hAnsi="Times New Roman" w:cs="Times New Roman"/>
          <w:b/>
          <w:sz w:val="28"/>
        </w:rPr>
        <w:t xml:space="preserve">A. The Government’s own premise defeats its prejudice argument.</w:t>
      </w:r>
      <w:r>
        <w:rPr>
          <w:rFonts w:ascii="Times New Roman" w:hAnsi="Times New Roman" w:cs="Times New Roman"/>
          <w:sz w:val="28"/>
        </w:rPr>
        <w:t xml:space="preserve"> Mr. Kumar does not contend that any proffer letter would have protected the false statements of February 27, 2020. His claim concerns the rest of the case, and his decision to plead. The Government argues that a Massachusetts letter would have been no help because proffer letters “typically” do not protect against false-statement prosecutions or derivative use (Mot. 6 (quoting D. Mass. ECF 130 at 13-14)), and, as it told the district court, because such a letter is “standard” (D. Mass. ECF 122 at 8). But the only proffer letter in the record, which the Government relies on as the “standard” form, also contains a protection the Government and the district court never addressed: no direct use of truthful proffered statements in the case-in-chief of any criminal case. D. Mass. ECF 122-1 ¶ 1. If a Massachusetts letter would have matched the Rhode Island letter, as the Government says, it would have barred the Massachusetts prosecution from using Mr. Kumar’s truthful statements against him directly. That cannot be reconciled with the Government’s assertion that there is no “realistic possibility that any evidence would have been suppressible.” Mot. 6-7.</w:t>
      </w:r>
    </w:p>
    <w:p>
      <w:pPr>
        <w:spacing w:after="240" w:line="480" w:lineRule="auto"/>
        <w:jc w:val="left"/>
      </w:pPr>
      <w:r>
        <w:rPr>
          <w:rFonts w:ascii="Times New Roman" w:hAnsi="Times New Roman" w:cs="Times New Roman"/>
          <w:b/>
          <w:sz w:val="28"/>
        </w:rPr>
        <w:t xml:space="preserve">B. The prejudice question under </w:t>
      </w:r>
      <w:r>
        <w:rPr>
          <w:rFonts w:ascii="Times New Roman" w:hAnsi="Times New Roman" w:cs="Times New Roman"/>
          <w:b/>
          <w:i/>
          <w:sz w:val="28"/>
        </w:rPr>
        <w:t xml:space="preserve">Hill</w:t>
      </w:r>
      <w:r>
        <w:rPr>
          <w:rFonts w:ascii="Times New Roman" w:hAnsi="Times New Roman" w:cs="Times New Roman"/>
          <w:b/>
          <w:sz w:val="28"/>
        </w:rPr>
        <w:t xml:space="preserve"> was never decided on a record.</w:t>
      </w:r>
      <w:r>
        <w:rPr>
          <w:rFonts w:ascii="Times New Roman" w:hAnsi="Times New Roman" w:cs="Times New Roman"/>
          <w:sz w:val="28"/>
        </w:rPr>
        <w:t xml:space="preserve"> Prejudice in a plea case asks whether there is “a reasonable probability that, but for counsel’s errors, he would not have pleaded guilty and would have insisted on going to trial.” </w:t>
      </w:r>
      <w:r>
        <w:rPr>
          <w:rFonts w:ascii="Times New Roman" w:hAnsi="Times New Roman" w:cs="Times New Roman"/>
          <w:i/>
          <w:sz w:val="28"/>
        </w:rPr>
        <w:t xml:space="preserve">Hill v. Lockhart</w:t>
      </w:r>
      <w:r>
        <w:rPr>
          <w:rFonts w:ascii="Times New Roman" w:hAnsi="Times New Roman" w:cs="Times New Roman"/>
          <w:sz w:val="28"/>
        </w:rPr>
        <w:t xml:space="preserve">, 474 U.S. 52, 59 (1985); </w:t>
      </w:r>
      <w:r>
        <w:rPr>
          <w:rFonts w:ascii="Times New Roman" w:hAnsi="Times New Roman" w:cs="Times New Roman"/>
          <w:i/>
          <w:sz w:val="28"/>
        </w:rPr>
        <w:t xml:space="preserve">United States v. Caramadre</w:t>
      </w:r>
      <w:r>
        <w:rPr>
          <w:rFonts w:ascii="Times New Roman" w:hAnsi="Times New Roman" w:cs="Times New Roman"/>
          <w:sz w:val="28"/>
        </w:rPr>
        <w:t xml:space="preserve">, 807 F.3d 359, 371 (1st Cir. 2015); Mot. 6. Judge Wolf’s ruling addresses whether a letter would have protected against a false-statement prosecution and derivative use. D. Mass. ECF 130 at 13-14. It does not ask whether, with a letter, Mr. Kumar would have gone to trial on Counts 1 and 2.</w:t>
      </w:r>
    </w:p>
    <w:p>
      <w:pPr>
        <w:spacing w:after="240" w:line="480" w:lineRule="auto"/>
        <w:jc w:val="left"/>
      </w:pPr>
      <w:r>
        <w:rPr>
          <w:rFonts w:ascii="Times New Roman" w:hAnsi="Times New Roman" w:cs="Times New Roman"/>
          <w:sz w:val="28"/>
        </w:rPr>
        <w:t xml:space="preserve">The Government answers that question for the first time on appeal, relying on “overwhelming and independent evidence of Kumar’s guilt.” Mot. 7. Its support is its own background section, drawn from the presentence report. Nothing in the record establishes that the evidence was independent. The record points the other way. Counsel told the district court that the primary evidence came from Mr. Kumar’s own statements and devices (ECF 75 at 2); the Government says he was a cooperating witness until February 27, 2020 (ECF 122 at 14 n.5); and the court found that what he said in his last session was “the starting point” of the investigation of him (ECF 130 at 20). Whether the Massachusetts drug case could have been brought or proved without Mr. Kumar’s own proffered statements and devices is a factual question. No court has decided it, and a motion for summary affirmance cannot.</w:t>
      </w:r>
    </w:p>
    <w:p>
      <w:pPr>
        <w:spacing w:after="240" w:line="480" w:lineRule="auto"/>
        <w:jc w:val="left"/>
      </w:pPr>
      <w:r>
        <w:rPr>
          <w:rFonts w:ascii="Times New Roman" w:hAnsi="Times New Roman" w:cs="Times New Roman"/>
          <w:b/>
          <w:sz w:val="28"/>
        </w:rPr>
        <w:t xml:space="preserve">C. The facts that matter were never developed.</w:t>
      </w:r>
      <w:r>
        <w:rPr>
          <w:rFonts w:ascii="Times New Roman" w:hAnsi="Times New Roman" w:cs="Times New Roman"/>
          <w:sz w:val="28"/>
        </w:rPr>
        <w:t xml:space="preserve"> Judge Wolf describes the sessions two ways: eleven sessions, “including in the District of Massachusetts” (ECF 130 at 3), and a “single proffer session with federal authorities in Massachusetts” on February 27, 2020 (</w:t>
      </w:r>
      <w:r>
        <w:rPr>
          <w:rFonts w:ascii="Times New Roman" w:hAnsi="Times New Roman" w:cs="Times New Roman"/>
          <w:i/>
          <w:sz w:val="28"/>
        </w:rPr>
        <w:t xml:space="preserve">id.</w:t>
      </w:r>
      <w:r>
        <w:rPr>
          <w:rFonts w:ascii="Times New Roman" w:hAnsi="Times New Roman" w:cs="Times New Roman"/>
          <w:sz w:val="28"/>
        </w:rPr>
        <w:t xml:space="preserve"> at 19). Which statements were made, to whom, in which district, under what protection, and which of them the Government used are facts that no one found. The Government cannot find a signed copy of the one letter that exists (ECF 122 at 3 n.2). Judge Wolf held that Mr. Kumar had not shown the Rhode Island letter bound Massachusetts prosecutors (ECF 130 at 14), even though that letter promises that no statement will be used “in the case-in-chief of </w:t>
      </w:r>
      <w:r>
        <w:rPr>
          <w:rFonts w:ascii="Times New Roman" w:hAnsi="Times New Roman" w:cs="Times New Roman"/>
          <w:i/>
          <w:sz w:val="28"/>
        </w:rPr>
        <w:t xml:space="preserve">any</w:t>
      </w:r>
      <w:r>
        <w:rPr>
          <w:rFonts w:ascii="Times New Roman" w:hAnsi="Times New Roman" w:cs="Times New Roman"/>
          <w:sz w:val="28"/>
        </w:rPr>
        <w:t xml:space="preserve"> criminal case.” (ECF 122-1 ¶ 1 (emphasis added).) No hearing was held on what the prosecutors agreed or understood. The Government itself recognized that if any issue was live it “will need to speak with and to obtain evidence from Kumar’s former counsel.” ECF 122 at 17-18.</w:t>
      </w:r>
    </w:p>
    <w:p>
      <w:pPr>
        <w:spacing w:after="240" w:line="480" w:lineRule="auto"/>
        <w:jc w:val="left"/>
      </w:pPr>
      <w:r>
        <w:rPr>
          <w:rFonts w:ascii="Times New Roman" w:hAnsi="Times New Roman" w:cs="Times New Roman"/>
          <w:sz w:val="28"/>
        </w:rPr>
        <w:t xml:space="preserve">Section 2255(b) requires a hearing “[u]nless the motion and the files and records of the case conclusively show that the prisoner is entitled to no relief.” 28 U.S.C. § 2255(b). The Government’s motion does not mention the hearing requirement.</w:t>
      </w:r>
    </w:p>
    <w:p>
      <w:pPr>
        <w:spacing w:after="240" w:line="480" w:lineRule="auto"/>
        <w:jc w:val="left"/>
      </w:pPr>
      <w:r>
        <w:rPr>
          <w:rFonts w:ascii="Times New Roman" w:hAnsi="Times New Roman" w:cs="Times New Roman"/>
          <w:b/>
          <w:sz w:val="28"/>
        </w:rPr>
        <w:t xml:space="preserve">D. The “clear error” standard the Government cites does not fit.</w:t>
      </w:r>
      <w:r>
        <w:rPr>
          <w:rFonts w:ascii="Times New Roman" w:hAnsi="Times New Roman" w:cs="Times New Roman"/>
          <w:sz w:val="28"/>
        </w:rPr>
        <w:t xml:space="preserve"> The Government says Mr. Kumar must show “clear error” in the district court’s prejudice findings, citing </w:t>
      </w:r>
      <w:r>
        <w:rPr>
          <w:rFonts w:ascii="Times New Roman" w:hAnsi="Times New Roman" w:cs="Times New Roman"/>
          <w:i/>
          <w:sz w:val="28"/>
        </w:rPr>
        <w:t xml:space="preserve">Dugas v. Coplan</w:t>
      </w:r>
      <w:r>
        <w:rPr>
          <w:rFonts w:ascii="Times New Roman" w:hAnsi="Times New Roman" w:cs="Times New Roman"/>
          <w:sz w:val="28"/>
        </w:rPr>
        <w:t xml:space="preserve">, 506 F.3d 1, 3 (1st Cir. 2007). Mot. 7. </w:t>
      </w:r>
      <w:r>
        <w:rPr>
          <w:rFonts w:ascii="Times New Roman" w:hAnsi="Times New Roman" w:cs="Times New Roman"/>
          <w:i/>
          <w:sz w:val="28"/>
        </w:rPr>
        <w:t xml:space="preserve">Dugas</w:t>
      </w:r>
      <w:r>
        <w:rPr>
          <w:rFonts w:ascii="Times New Roman" w:hAnsi="Times New Roman" w:cs="Times New Roman"/>
          <w:sz w:val="28"/>
        </w:rPr>
        <w:t xml:space="preserve"> is a state-prisoner habeas case in which the district court held its own evidentiary hearing. It explains that deference to findings applies “[w]hen the district court has held an evidentiary hearing and made its own determinations as to the weight of the evidence and the credibility of witnesses,” and that the standard for the ultimate prejudice question “depends, in the last analysis, on the extent to which a particular question is fact-dominated or law-dominated.” Here there was no hearing, no testimony, and no credibility finding. The Court reviews the ruling on the same paper record the district court had.</w:t>
      </w:r>
    </w:p>
    <w:p>
      <w:pPr>
        <w:spacing w:after="240" w:line="480" w:lineRule="auto"/>
        <w:jc w:val="left"/>
      </w:pPr>
      <w:r>
        <w:rPr>
          <w:rFonts w:ascii="Times New Roman" w:hAnsi="Times New Roman" w:cs="Times New Roman"/>
          <w:b/>
          <w:sz w:val="28"/>
        </w:rPr>
        <w:t xml:space="preserve">E. The pre-indictment delay claim is also certified and is not “plainly waived.”</w:t>
      </w:r>
      <w:r>
        <w:rPr>
          <w:rFonts w:ascii="Times New Roman" w:hAnsi="Times New Roman" w:cs="Times New Roman"/>
          <w:sz w:val="28"/>
        </w:rPr>
        <w:t xml:space="preserve"> Mr. Kumar argued below that counsel’s ineffectiveness explains why the delay claim was not pursued. D. Mass. ECF 120. The Government’s own account of the withdrawal is that Mr. Kumar wrote to the court “explaining explicitly that he wanted to withdraw his motion to dismiss and to plead guilty because he believed that his guideline sentencing range was only 15-20 months.” D. Mass. ECF 122 at 6. He was sentenced to 87 months. Whether a withdrawal made on that belief, and on counsel’s advice, was knowing and intelligent is the question </w:t>
      </w:r>
      <w:r>
        <w:rPr>
          <w:rFonts w:ascii="Times New Roman" w:hAnsi="Times New Roman" w:cs="Times New Roman"/>
          <w:i/>
          <w:sz w:val="28"/>
        </w:rPr>
        <w:t xml:space="preserve">Tollett v. Henderson</w:t>
      </w:r>
      <w:r>
        <w:rPr>
          <w:rFonts w:ascii="Times New Roman" w:hAnsi="Times New Roman" w:cs="Times New Roman"/>
          <w:sz w:val="28"/>
        </w:rPr>
        <w:t xml:space="preserve">, 411 U.S. 258, 267 (1973), leaves open to a defendant who pleads guilty on counsel’s advice: he “may only attack the voluntary and intelligent character of the guilty plea by showing that the advice he received from counsel was not within the standards set forth in </w:t>
      </w:r>
      <w:r>
        <w:rPr>
          <w:rFonts w:ascii="Times New Roman" w:hAnsi="Times New Roman" w:cs="Times New Roman"/>
          <w:i/>
          <w:sz w:val="28"/>
        </w:rPr>
        <w:t xml:space="preserve">McMann v. Richardson</w:t>
      </w:r>
      <w:r>
        <w:rPr>
          <w:rFonts w:ascii="Times New Roman" w:hAnsi="Times New Roman" w:cs="Times New Roman"/>
          <w:sz w:val="28"/>
        </w:rPr>
        <w:t xml:space="preserve">.” The Government’s motion does not address that. Judge Kelley also found that “[r]easonable jurists could disagree with [the district court’s] conclusion about the effect of the COVID-19 pandemic and its effects on prosecutorial delay.” D. Mass. ECF 141.</w:t>
      </w:r>
    </w:p>
    <w:p>
      <w:pPr>
        <w:spacing w:after="240" w:line="480" w:lineRule="auto"/>
        <w:jc w:val="left"/>
      </w:pPr>
      <w:r>
        <w:rPr>
          <w:rFonts w:ascii="Times New Roman" w:hAnsi="Times New Roman" w:cs="Times New Roman"/>
          <w:b/>
          <w:sz w:val="28"/>
        </w:rPr>
        <w:t xml:space="preserve">F. Scope of the certificate.</w:t>
      </w:r>
      <w:r>
        <w:rPr>
          <w:rFonts w:ascii="Times New Roman" w:hAnsi="Times New Roman" w:cs="Times New Roman"/>
          <w:sz w:val="28"/>
        </w:rPr>
        <w:t xml:space="preserve"> Mr. Kumar does not ask the Court to decide the scope of the certificate of appealability on this motion, and does not waive any right on that question. Judge Wolf’s order of August 28, 2025 states that “[a] Certificate of Appealability of the denial of Kumar’s 2255 Motion is hereby ISSUED.” D. Mass. ECF 130 at 22. Judge Kelley’s order of June 25, 2026 certified two issues. D. Mass. ECF 141.</w:t>
      </w:r>
    </w:p>
    <w:p>
      <w:pPr>
        <w:keepNext/>
        <w:spacing w:after="240" w:line="312" w:lineRule="auto"/>
        <w:jc w:val="left"/>
      </w:pPr>
      <w:r>
        <w:rPr>
          <w:rFonts w:ascii="Times New Roman" w:hAnsi="Times New Roman" w:cs="Times New Roman"/>
          <w:b/>
          <w:sz w:val="28"/>
        </w:rPr>
        <w:t xml:space="preserve">V. CONCLUSION</w:t>
      </w:r>
    </w:p>
    <w:p>
      <w:pPr>
        <w:spacing w:after="240" w:line="480" w:lineRule="auto"/>
        <w:jc w:val="left"/>
      </w:pPr>
      <w:r>
        <w:rPr>
          <w:rFonts w:ascii="Times New Roman" w:hAnsi="Times New Roman" w:cs="Times New Roman"/>
          <w:sz w:val="28"/>
        </w:rPr>
        <w:t xml:space="preserve">Mr. Kumar respectfully asks the Court to: (1) grant leave to file this response out of time; (2) deny the Government’s motion for summary disposition; (3) upon denying it, lift the stay and set a briefing schedule for the Government’s brief; and (4) in the alternative, vacate and remand for an evidentiary hearing under 28 U.S.C. § 2255(b) on the proffer-protection claim.</w:t>
      </w:r>
    </w:p>
    <w:p>
      <w:pPr>
        <w:spacing w:after="240" w:line="480" w:lineRule="auto"/>
        <w:jc w:val="left"/>
      </w:pPr>
      <w:r>
        <w:rPr>
          <w:rFonts w:ascii="Times New Roman" w:hAnsi="Times New Roman" w:cs="Times New Roman"/>
          <w:sz w:val="28"/>
        </w:rPr>
        <w:t xml:space="preserve">Respectfully submitted,</w:t>
      </w:r>
    </w:p>
    <w:p>
      <w:pPr>
        <w:spacing w:after="240" w:line="312" w:lineRule="auto"/>
        <w:ind w:left="4320"/>
        <w:jc w:val="left"/>
      </w:pPr>
      <w:r>
        <w:rPr>
          <w:rFonts w:ascii="Times New Roman" w:hAnsi="Times New Roman" w:cs="Times New Roman"/>
          <w:sz w:val="28"/>
        </w:rPr>
        <w:t xml:space="preserve">/s/ _______________________</w:t>
      </w:r>
      <w:r>
        <w:br/>
      </w:r>
      <w:r>
        <w:rPr>
          <w:rFonts w:ascii="Times New Roman" w:hAnsi="Times New Roman" w:cs="Times New Roman"/>
          <w:sz w:val="28"/>
        </w:rPr>
        <w:t xml:space="preserve">Manish Kumar, pro se</w:t>
      </w:r>
      <w:r>
        <w:br/>
      </w:r>
      <w:r>
        <w:rPr>
          <w:rFonts w:ascii="Times New Roman" w:hAnsi="Times New Roman" w:cs="Times New Roman"/>
          <w:sz w:val="28"/>
        </w:rPr>
        <w:t xml:space="preserve">Fed. Reg. No. 83763-053</w:t>
      </w:r>
      <w:r>
        <w:br/>
      </w:r>
      <w:r>
        <w:rPr>
          <w:rFonts w:ascii="Times New Roman" w:hAnsi="Times New Roman" w:cs="Times New Roman"/>
          <w:sz w:val="28"/>
        </w:rPr>
        <w:t xml:space="preserve">FCI Fort Dix</w:t>
      </w:r>
      <w:r>
        <w:br/>
      </w:r>
      <w:r>
        <w:rPr>
          <w:rFonts w:ascii="Times New Roman" w:hAnsi="Times New Roman" w:cs="Times New Roman"/>
          <w:sz w:val="28"/>
        </w:rPr>
        <w:t xml:space="preserve">[P.O. Box 2000 – CONFIRM: East or West compound? The District of Massachusetts docket lists East P.O. Box 2000 and West P.O. Box 7000.]</w:t>
      </w:r>
      <w:r>
        <w:br/>
      </w:r>
      <w:r>
        <w:rPr>
          <w:rFonts w:ascii="Times New Roman" w:hAnsi="Times New Roman" w:cs="Times New Roman"/>
          <w:sz w:val="28"/>
        </w:rPr>
        <w:t xml:space="preserve">Joint Base MDL, NJ 08640</w:t>
      </w:r>
      <w:r>
        <w:br/>
      </w:r>
      <w:r>
        <w:rPr>
          <w:rFonts w:ascii="Times New Roman" w:hAnsi="Times New Roman" w:cs="Times New Roman"/>
          <w:sz w:val="28"/>
        </w:rPr>
        <w:t xml:space="preserve">Date: [DATE]</w:t>
      </w:r>
    </w:p>
    <w:p>
      <w:pPr>
        <w:keepNext/>
        <w:spacing w:after="240" w:line="312" w:lineRule="auto"/>
        <w:jc w:val="left"/>
      </w:pPr>
      <w:r>
        <w:rPr>
          <w:rFonts w:ascii="Times New Roman" w:hAnsi="Times New Roman" w:cs="Times New Roman"/>
          <w:b/>
          <w:sz w:val="28"/>
        </w:rPr>
        <w:t xml:space="preserve">CERTIFICATE OF COMPLIANCE</w:t>
      </w:r>
    </w:p>
    <w:p>
      <w:pPr>
        <w:spacing w:after="240" w:line="360" w:lineRule="auto"/>
        <w:jc w:val="left"/>
      </w:pPr>
      <w:r>
        <w:rPr>
          <w:rFonts w:ascii="Times New Roman" w:hAnsi="Times New Roman" w:cs="Times New Roman"/>
          <w:sz w:val="28"/>
        </w:rPr>
        <w:t xml:space="preserve">This document complies with the type-volume limit of Fed. R. App. P. 27(d)(2)(A) because, excluding the parts exempted by Fed. R. App. P. 32(f), it contains approximately 2338 words [RECOUNT AFTER FINAL EDITS], and with the typeface and type-style requirements of Fed. R. App. P. 32(a)(5) and (6) because it is prepared in a proportionally spaced typeface (Times New Roman, 14 point).</w:t>
      </w:r>
    </w:p>
    <w:p>
      <w:pPr>
        <w:spacing w:after="240" w:line="360" w:lineRule="auto"/>
        <w:jc w:val="left"/>
      </w:pPr>
      <w:r>
        <w:rPr>
          <w:rFonts w:ascii="Times New Roman" w:hAnsi="Times New Roman" w:cs="Times New Roman"/>
          <w:sz w:val="28"/>
        </w:rPr>
        <w:t xml:space="preserve">/s/ _______________________   Manish Kumar, pro se   Date: [DATE]</w:t>
      </w:r>
    </w:p>
    <w:p>
      <w:pPr>
        <w:keepNext/>
        <w:spacing w:after="240" w:line="312" w:lineRule="auto"/>
        <w:jc w:val="left"/>
      </w:pPr>
      <w:r>
        <w:rPr>
          <w:rFonts w:ascii="Times New Roman" w:hAnsi="Times New Roman" w:cs="Times New Roman"/>
          <w:b/>
          <w:sz w:val="28"/>
        </w:rPr>
        <w:t xml:space="preserve">CERTIFICATE OF SERVICE AND INMATE FILING DECLARATION</w:t>
      </w:r>
    </w:p>
    <w:p>
      <w:pPr>
        <w:spacing w:after="240" w:line="360" w:lineRule="auto"/>
        <w:jc w:val="left"/>
      </w:pPr>
      <w:r>
        <w:rPr>
          <w:rFonts w:ascii="Times New Roman" w:hAnsi="Times New Roman" w:cs="Times New Roman"/>
          <w:sz w:val="28"/>
        </w:rPr>
        <w:t xml:space="preserve">I certify that on [DATE] I deposited the foregoing, with first-class postage prepaid, in the internal legal mail system of FCI Fort Dix, addressed to the Clerk of the United States Court of Appeals for the First Circuit, John Joseph Moakley U.S. Courthouse, 1 Courthouse Way, Suite 2500, Boston, MA 02210, and that I served a copy in the same manner on: Donald C. Lockhart and Kriss Basil, Assistant U.S. Attorneys, U.S. Attorney’s Office, 1 Courthouse Way, Suite 9200, Boston, MA 02210. I declare under penalty of perjury that this is true and correct. 28 U.S.C. § 1746; Fed. R. App. P. 25(a)(2)(A)(iii) [VERIFY].</w:t>
      </w:r>
    </w:p>
    <w:p>
      <w:pPr>
        <w:spacing w:after="240" w:line="360" w:lineRule="auto"/>
        <w:jc w:val="left"/>
      </w:pPr>
      <w:r>
        <w:rPr>
          <w:rFonts w:ascii="Times New Roman" w:hAnsi="Times New Roman" w:cs="Times New Roman"/>
          <w:sz w:val="28"/>
        </w:rPr>
        <w:t xml:space="preserve">/s/ _______________________   Manish Kumar   Date: [DATE]</w:t>
      </w:r>
    </w:p>
    <w:p>
      <w:r>
        <w:br w:type="page"/>
      </w:r>
    </w:p>
    <w:p>
      <w:pPr>
        <w:spacing w:after="240" w:line="312" w:lineRule="auto"/>
        <w:jc w:val="center"/>
      </w:pPr>
      <w:r>
        <w:rPr>
          <w:rFonts w:ascii="Times New Roman" w:hAnsi="Times New Roman" w:cs="Times New Roman"/>
          <w:b/>
          <w:sz w:val="28"/>
        </w:rPr>
        <w:t xml:space="preserve">ATTACHMENT A</w:t>
      </w:r>
    </w:p>
    <w:p>
      <w:pPr>
        <w:spacing w:after="240" w:line="312" w:lineRule="auto"/>
        <w:jc w:val="center"/>
      </w:pPr>
      <w:r>
        <w:rPr>
          <w:rFonts w:ascii="Times New Roman" w:hAnsi="Times New Roman" w:cs="Times New Roman"/>
          <w:b/>
          <w:sz w:val="28"/>
        </w:rPr>
        <w:t xml:space="preserve">DECLARATION OF MANISH KUMAR</w:t>
      </w:r>
      <w:r>
        <w:br/>
      </w:r>
      <w:r>
        <w:rPr>
          <w:rFonts w:ascii="Times New Roman" w:hAnsi="Times New Roman" w:cs="Times New Roman"/>
          <w:sz w:val="28"/>
        </w:rPr>
        <w:t xml:space="preserve">(28 U.S.C. § 1746)</w:t>
      </w:r>
    </w:p>
    <w:p>
      <w:pPr>
        <w:spacing w:after="240" w:line="360" w:lineRule="auto"/>
        <w:jc w:val="left"/>
      </w:pPr>
      <w:r>
        <w:rPr>
          <w:rFonts w:ascii="Times New Roman" w:hAnsi="Times New Roman" w:cs="Times New Roman"/>
          <w:b/>
          <w:sz w:val="28"/>
        </w:rPr>
        <w:t xml:space="preserve">[KUMAR: complete only with facts you personally know. Cross out anything that is not true. Do not guess dates. The Government can check prison mail logs; an inaccurate declaration will hurt your appeal.]</w:t>
      </w:r>
    </w:p>
    <w:p>
      <w:pPr>
        <w:spacing w:after="240" w:line="360" w:lineRule="auto"/>
        <w:jc w:val="left"/>
      </w:pPr>
      <w:r>
        <w:rPr>
          <w:rFonts w:ascii="Times New Roman" w:hAnsi="Times New Roman" w:cs="Times New Roman"/>
          <w:sz w:val="28"/>
        </w:rPr>
        <w:t xml:space="preserve">1. I am the appellant in No. 26-1250. I am incarcerated at FCI Fort Dix, Reg. No. 83763-053. I am housed in the [ EAST / WEST ] compound. My mailing address since [DATE] has been: ______________________.</w:t>
      </w:r>
    </w:p>
    <w:p>
      <w:pPr>
        <w:spacing w:after="240" w:line="360" w:lineRule="auto"/>
        <w:jc w:val="left"/>
      </w:pPr>
      <w:r>
        <w:rPr>
          <w:rFonts w:ascii="Times New Roman" w:hAnsi="Times New Roman" w:cs="Times New Roman"/>
          <w:sz w:val="28"/>
        </w:rPr>
        <w:t xml:space="preserve">2. For each item below, I state the date I received it, or that I never received it:</w:t>
      </w:r>
    </w:p>
    <w:p>
      <w:pPr>
        <w:spacing w:after="240" w:line="360" w:lineRule="auto"/>
        <w:jc w:val="left"/>
      </w:pPr>
      <w:r>
        <w:rPr>
          <w:rFonts w:ascii="Times New Roman" w:hAnsi="Times New Roman" w:cs="Times New Roman"/>
          <w:sz w:val="28"/>
        </w:rPr>
        <w:t xml:space="preserve">  (a) Order to show cause, No. 26-1251, dated April 8, 2026: received on ________ / never received.</w:t>
      </w:r>
      <w:r>
        <w:br/>
      </w:r>
      <w:r>
        <w:rPr>
          <w:rFonts w:ascii="Times New Roman" w:hAnsi="Times New Roman" w:cs="Times New Roman"/>
          <w:sz w:val="28"/>
        </w:rPr>
        <w:t xml:space="preserve">
  (b) District court order reopening time to appeal, April 17, 2026: received on ________ / never received.</w:t>
      </w:r>
      <w:r>
        <w:br/>
      </w:r>
      <w:r>
        <w:rPr>
          <w:rFonts w:ascii="Times New Roman" w:hAnsi="Times New Roman" w:cs="Times New Roman"/>
          <w:sz w:val="28"/>
        </w:rPr>
        <w:t xml:space="preserve">
  (c) First Circuit order of May 8, 2026 (certificate of appealability request): received on ________ / never received.</w:t>
      </w:r>
      <w:r>
        <w:br/>
      </w:r>
      <w:r>
        <w:rPr>
          <w:rFonts w:ascii="Times New Roman" w:hAnsi="Times New Roman" w:cs="Times New Roman"/>
          <w:sz w:val="28"/>
        </w:rPr>
        <w:t xml:space="preserve">
  (d) Order of June 25, 2026 (limited certificate of appealability): received on ________ / never received.</w:t>
      </w:r>
      <w:r>
        <w:br/>
      </w:r>
      <w:r>
        <w:rPr>
          <w:rFonts w:ascii="Times New Roman" w:hAnsi="Times New Roman" w:cs="Times New Roman"/>
          <w:sz w:val="28"/>
        </w:rPr>
        <w:t xml:space="preserve">
  (e) First Circuit order of July 1, 2026 (July 31 deadline to apply to expand the certificate): received on ________ / never received.</w:t>
      </w:r>
      <w:r>
        <w:br/>
      </w:r>
      <w:r>
        <w:rPr>
          <w:rFonts w:ascii="Times New Roman" w:hAnsi="Times New Roman" w:cs="Times New Roman"/>
          <w:sz w:val="28"/>
        </w:rPr>
        <w:t xml:space="preserve">
  (f) First Circuit briefing schedule of August 17, 2026: received on ________ / never received.</w:t>
      </w:r>
      <w:r>
        <w:br/>
      </w:r>
      <w:r>
        <w:rPr>
          <w:rFonts w:ascii="Times New Roman" w:hAnsi="Times New Roman" w:cs="Times New Roman"/>
          <w:sz w:val="28"/>
        </w:rPr>
        <w:t xml:space="preserve">
  (g) Government’s motions dated September 11, 2026: received on ________ / never received.</w:t>
      </w:r>
      <w:r>
        <w:br/>
      </w:r>
      <w:r>
        <w:rPr>
          <w:rFonts w:ascii="Times New Roman" w:hAnsi="Times New Roman" w:cs="Times New Roman"/>
          <w:sz w:val="28"/>
        </w:rPr>
        <w:t xml:space="preserve">
  (h) First Circuit order of September 30, 2026 (stay granted): received on ________ / never received.</w:t>
      </w:r>
    </w:p>
    <w:p>
      <w:pPr>
        <w:spacing w:after="240" w:line="360" w:lineRule="auto"/>
        <w:jc w:val="left"/>
      </w:pPr>
      <w:r>
        <w:rPr>
          <w:rFonts w:ascii="Times New Roman" w:hAnsi="Times New Roman" w:cs="Times New Roman"/>
          <w:sz w:val="28"/>
        </w:rPr>
        <w:t xml:space="preserve">3. I first learned that the certificate of appealability had been limited to two issues on or about ________, when ______________________________.</w:t>
      </w:r>
    </w:p>
    <w:p>
      <w:pPr>
        <w:spacing w:after="240" w:line="360" w:lineRule="auto"/>
        <w:jc w:val="left"/>
      </w:pPr>
      <w:r>
        <w:rPr>
          <w:rFonts w:ascii="Times New Roman" w:hAnsi="Times New Roman" w:cs="Times New Roman"/>
          <w:sz w:val="28"/>
        </w:rPr>
        <w:t xml:space="preserve">4. I did not respond earlier to the Government’s motion because ______________________________.</w:t>
      </w:r>
    </w:p>
    <w:p>
      <w:pPr>
        <w:spacing w:after="240" w:line="360" w:lineRule="auto"/>
        <w:jc w:val="left"/>
      </w:pPr>
      <w:r>
        <w:rPr>
          <w:rFonts w:ascii="Times New Roman" w:hAnsi="Times New Roman" w:cs="Times New Roman"/>
          <w:sz w:val="28"/>
        </w:rPr>
        <w:t xml:space="preserve">I declare under penalty of perjury under the laws of the United States that the foregoing is true and correct. Executed on [DATE] at FCI Fort Dix, New Jersey.</w:t>
      </w:r>
    </w:p>
    <w:p>
      <w:pPr>
        <w:spacing w:after="240" w:line="360" w:lineRule="auto"/>
        <w:jc w:val="left"/>
      </w:pPr>
      <w:r>
        <w:rPr>
          <w:rFonts w:ascii="Times New Roman" w:hAnsi="Times New Roman" w:cs="Times New Roman"/>
          <w:sz w:val="28"/>
        </w:rPr>
        <w:t xml:space="preserve">/s/ _______________________   Manish Kumar</w:t>
      </w:r>
    </w:p>
    <w:p>
      <w:r>
        <w:br w:type="page"/>
      </w:r>
    </w:p>
    <w:p>
      <w:pPr>
        <w:spacing w:after="240" w:line="312" w:lineRule="auto"/>
        <w:jc w:val="center"/>
      </w:pPr>
      <w:r>
        <w:rPr>
          <w:rFonts w:ascii="Times New Roman" w:hAnsi="Times New Roman" w:cs="Times New Roman"/>
          <w:b/>
          <w:sz w:val="28"/>
        </w:rPr>
        <w:t xml:space="preserve">ATTACHMENT B — INDEX OF RECORD COPIES</w:t>
      </w:r>
    </w:p>
    <w:p>
      <w:pPr>
        <w:spacing w:after="240" w:line="360" w:lineRule="auto"/>
        <w:jc w:val="left"/>
      </w:pPr>
      <w:r>
        <w:rPr>
          <w:rFonts w:ascii="Times New Roman" w:hAnsi="Times New Roman" w:cs="Times New Roman"/>
          <w:sz w:val="28"/>
        </w:rPr>
        <w:t xml:space="preserve">Copies of the following should be attached (all D. Mass. No. 1:21-cr-10157): ECF 141 (6/25/2026 order); ECF 137 (4/17/2026 order) and the docket entry for ECF 139 (5/4/2026); ECF 130, pages 3-4, 13-14, 19-22 (8/28/2025 memorandum and order); ECF 122, pages 1, 3, 6, 8, 14, 17-18 (Government’s opposition); ECF 122-1 (Rhode Island proffer letter) and 122-2 (Basil affidavit); ECF 75, page 2.</w:t>
      </w:r>
    </w:p>
    <w:sectPr>
      <w:pgSz w:w="12240" w:h="15840"/>
      <w:pgMar w:top="1440" w:right="1440" w:bottom="1440" w:left="1440" w:header="720" w:footer="720" w:gutter="0"/>
    </w:sectPr>
  </w:body>
</w:document>
</file>