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shd w:val="clear" w:color="auto" w:fill="D6E4FF"/>
      </w:pPr>
      <w:r>
        <w:rPr>
          <w:rFonts w:ascii="Calibri" w:hAnsi="Calibri"/>
          <w:b/>
          <w:color w:val="1F3D99"/>
          <w:sz w:val="20"/>
        </w:rPr>
        <w:t>PUBLISHER CHECKLIST — NOT PART OF ARTICLE</w:t>
      </w:r>
    </w:p>
    <w:p>
      <w:pPr>
        <w:spacing w:before="20" w:after="20"/>
        <w:shd w:val="clear" w:color="auto" w:fill="EEF4FF"/>
      </w:pPr>
      <w:r>
        <w:rPr>
          <w:rFonts w:ascii="Calibri" w:hAnsi="Calibri"/>
          <w:b w:val="0"/>
          <w:color w:val="1A1A1A"/>
          <w:sz w:val="20"/>
        </w:rPr>
      </w:r>
    </w:p>
    <w:p>
      <w:pPr>
        <w:spacing w:before="20" w:after="20"/>
        <w:shd w:val="clear" w:color="auto" w:fill="EEF4FF"/>
      </w:pPr>
      <w:r>
        <w:rPr>
          <w:rFonts w:ascii="Calibri" w:hAnsi="Calibri"/>
          <w:b/>
          <w:color w:val="555555"/>
          <w:sz w:val="18"/>
        </w:rPr>
        <w:t>TITLE  —  paste into Substack title field</w:t>
      </w:r>
    </w:p>
    <w:p>
      <w:pPr>
        <w:spacing w:before="20" w:after="80"/>
        <w:shd w:val="clear" w:color="auto" w:fill="EEF4FF"/>
      </w:pPr>
      <w:r>
        <w:rPr>
          <w:rFonts w:ascii="Calibri" w:hAnsi="Calibri"/>
          <w:b w:val="0"/>
          <w:color w:val="111111"/>
          <w:sz w:val="22"/>
        </w:rPr>
        <w:t>I Reported the Condemned Building to an Associate Warden. She Agreed. The Bleachers Are Still There.</w:t>
      </w:r>
    </w:p>
    <w:p>
      <w:pPr>
        <w:spacing w:before="20" w:after="20"/>
        <w:shd w:val="clear" w:color="auto" w:fill="EEF4FF"/>
      </w:pPr>
      <w:r>
        <w:rPr>
          <w:rFonts w:ascii="Calibri" w:hAnsi="Calibri"/>
          <w:b/>
          <w:color w:val="555555"/>
          <w:sz w:val="18"/>
        </w:rPr>
        <w:t>SUBTITLE / EMAIL PREVIEW  —  paste into Substack subtitle field</w:t>
      </w:r>
    </w:p>
    <w:p>
      <w:pPr>
        <w:spacing w:before="20" w:after="80"/>
        <w:shd w:val="clear" w:color="auto" w:fill="EEF4FF"/>
      </w:pPr>
      <w:r>
        <w:rPr>
          <w:rFonts w:ascii="Calibri" w:hAnsi="Calibri"/>
          <w:b w:val="0"/>
          <w:color w:val="111111"/>
          <w:sz w:val="22"/>
        </w:rPr>
        <w:t>Nine years inside Fort Dix. Here's what federal neglect actually looks like.</w:t>
      </w:r>
    </w:p>
    <w:p>
      <w:pPr>
        <w:spacing w:before="20" w:after="20"/>
        <w:shd w:val="clear" w:color="auto" w:fill="EEF4FF"/>
      </w:pPr>
      <w:r>
        <w:rPr>
          <w:rFonts w:ascii="Calibri" w:hAnsi="Calibri"/>
          <w:b/>
          <w:color w:val="555555"/>
          <w:sz w:val="18"/>
        </w:rPr>
        <w:t>COLUMN TAG  —  apply in Substack tags field</w:t>
      </w:r>
    </w:p>
    <w:p>
      <w:pPr>
        <w:spacing w:before="20" w:after="80"/>
        <w:shd w:val="clear" w:color="auto" w:fill="EEF4FF"/>
      </w:pPr>
      <w:r>
        <w:rPr>
          <w:rFonts w:ascii="Calibri" w:hAnsi="Calibri"/>
          <w:b w:val="0"/>
          <w:color w:val="111111"/>
          <w:sz w:val="22"/>
        </w:rPr>
        <w:t>Surviving the Feds: Dispatches from the Inside</w:t>
      </w:r>
    </w:p>
    <w:p>
      <w:pPr>
        <w:spacing w:before="20" w:after="20"/>
        <w:shd w:val="clear" w:color="auto" w:fill="EEF4FF"/>
      </w:pPr>
      <w:r>
        <w:rPr>
          <w:rFonts w:ascii="Calibri" w:hAnsi="Calibri"/>
          <w:b/>
          <w:color w:val="555555"/>
          <w:sz w:val="18"/>
        </w:rPr>
        <w:t>GUEST AUTHOR  —  add via the author field in the Substack editor</w:t>
      </w:r>
    </w:p>
    <w:p>
      <w:pPr>
        <w:spacing w:before="20" w:after="80"/>
        <w:shd w:val="clear" w:color="auto" w:fill="EEF4FF"/>
      </w:pPr>
      <w:r>
        <w:rPr>
          <w:rFonts w:ascii="Calibri" w:hAnsi="Calibri"/>
          <w:b w:val="0"/>
          <w:color w:val="111111"/>
          <w:sz w:val="22"/>
        </w:rPr>
        <w:t>Bilal Khan  —  [add Bilal’s Substack handle or email to complete byline]</w:t>
      </w:r>
    </w:p>
    <w:p>
      <w:pPr>
        <w:spacing w:before="40" w:after="40"/>
        <w:shd w:val="clear" w:color="auto" w:fill="D6E4FF"/>
      </w:pPr>
      <w:r>
        <w:rPr>
          <w:rFonts w:ascii="Calibri" w:hAnsi="Calibri"/>
          <w:b/>
          <w:color w:val="1F3D99"/>
          <w:sz w:val="18"/>
        </w:rPr>
        <w:t>────────────────────────────────────────────────────  ARTICLE BEGINS BELOW</w:t>
      </w:r>
    </w:p>
    <w:p>
      <w:pPr>
        <w:spacing w:after="80"/>
      </w:pPr>
    </w:p>
    <w:p>
      <w:pPr>
        <w:spacing w:after="120"/>
      </w:pPr>
      <w:r>
        <w:rPr>
          <w:rFonts w:ascii="Calibri" w:hAnsi="Calibri"/>
          <w:b/>
          <w:sz w:val="36"/>
        </w:rPr>
        <w:t>I Reported the Condemned Building to an Associate Warden. She Agreed. The Bleachers Are Still There.</w:t>
      </w:r>
    </w:p>
    <w:p>
      <w:pPr>
        <w:spacing w:before="200" w:after="80"/>
      </w:pPr>
      <w:r>
        <w:rPr>
          <w:rFonts w:ascii="Calibri" w:hAnsi="Calibri"/>
          <w:b/>
          <w:sz w:val="26"/>
        </w:rPr>
        <w:t>By Bilal Khan</w:t>
      </w:r>
    </w:p>
    <w:p>
      <w:pPr>
        <w:spacing w:after="160" w:before="0"/>
      </w:pPr>
      <w:r>
        <w:rPr>
          <w:rFonts w:ascii="Calibri" w:hAnsi="Calibri"/>
          <w:b w:val="0"/>
          <w:i/>
          <w:sz w:val="22"/>
        </w:rPr>
        <w:t>Surviving the Feds: Dispatches from the Inside</w:t>
      </w:r>
    </w:p>
    <w:p>
      <w:pPr>
        <w:spacing w:before="120" w:after="120"/>
        <w:pBdr>
          <w:bottom w:val="single" w:sz="4" w:space="1" w:color="CCCCCC"/>
        </w:pBdr>
      </w:pPr>
    </w:p>
    <w:p>
      <w:pPr>
        <w:spacing w:after="160" w:before="0"/>
      </w:pPr>
      <w:r>
        <w:rPr>
          <w:rFonts w:ascii="Calibri" w:hAnsi="Calibri"/>
          <w:b w:val="0"/>
          <w:i w:val="0"/>
          <w:sz w:val="22"/>
        </w:rPr>
        <w:t>There is an orange cone on the sidewalk in front of my housing unit at FCI Fort Dix.</w:t>
      </w:r>
    </w:p>
    <w:p>
      <w:pPr>
        <w:spacing w:after="160" w:before="0"/>
      </w:pPr>
      <w:r>
        <w:rPr>
          <w:rFonts w:ascii="Calibri" w:hAnsi="Calibri"/>
          <w:b w:val="0"/>
          <w:i w:val="0"/>
          <w:sz w:val="22"/>
        </w:rPr>
        <w:t>Not a repair crew. Not a sign explaining what happened. An orange cone.</w:t>
      </w:r>
    </w:p>
    <w:p>
      <w:pPr>
        <w:spacing w:after="160" w:before="0"/>
      </w:pPr>
      <w:r>
        <w:rPr>
          <w:rFonts w:ascii="Calibri" w:hAnsi="Calibri"/>
          <w:b w:val="0"/>
          <w:i w:val="0"/>
          <w:sz w:val="22"/>
        </w:rPr>
        <w:t>About three weeks ago, a work crew showed up, made their paint marks, and tore up a section of sidewalk running between two housing units. The job, as best I understand it from the higher-grade inmates who were essentially serving as foremen on the project: replace the entire stretch — roughly 300 feet of sidewalk on two sides of a grassy area, plus a cutthrough section. Equipment had been arranged. The scope was marked out on the pavement.</w:t>
      </w:r>
    </w:p>
    <w:p>
      <w:pPr>
        <w:spacing w:after="160" w:before="0"/>
      </w:pPr>
      <w:r>
        <w:rPr>
          <w:rFonts w:ascii="Calibri" w:hAnsi="Calibri"/>
          <w:b w:val="0"/>
          <w:i w:val="0"/>
          <w:sz w:val="22"/>
        </w:rPr>
        <w:t>They completed one-eighth of it in two days.</w:t>
      </w:r>
    </w:p>
    <w:p>
      <w:pPr>
        <w:spacing w:after="160" w:before="0"/>
      </w:pPr>
      <w:r>
        <w:rPr>
          <w:rFonts w:ascii="Calibri" w:hAnsi="Calibri"/>
          <w:b w:val="0"/>
          <w:i w:val="0"/>
          <w:sz w:val="22"/>
        </w:rPr>
        <w:t>Then they left.</w:t>
      </w:r>
    </w:p>
    <w:p>
      <w:pPr>
        <w:spacing w:after="160" w:before="0"/>
      </w:pPr>
      <w:r>
        <w:rPr>
          <w:rFonts w:ascii="Calibri" w:hAnsi="Calibri"/>
          <w:b w:val="0"/>
          <w:i w:val="0"/>
          <w:sz w:val="22"/>
        </w:rPr>
        <w:t>The inmates on the crew tell me the jackhammer equipment was arranged for a full month. Two days of actual work. One month of rental.</w:t>
      </w:r>
    </w:p>
    <w:p>
      <w:pPr>
        <w:spacing w:after="160" w:before="0"/>
      </w:pPr>
      <w:r>
        <w:rPr>
          <w:rFonts w:ascii="Calibri" w:hAnsi="Calibri"/>
          <w:b w:val="0"/>
          <w:i w:val="0"/>
          <w:sz w:val="22"/>
        </w:rPr>
        <w:t>That is where we are.</w:t>
      </w:r>
    </w:p>
    <w:p>
      <w:pPr>
        <w:spacing w:before="120" w:after="120"/>
        <w:pBdr>
          <w:bottom w:val="single" w:sz="4" w:space="1" w:color="CCCCCC"/>
        </w:pBdr>
      </w:pPr>
    </w:p>
    <w:p>
      <w:pPr>
        <w:spacing w:after="160" w:before="0"/>
      </w:pPr>
      <w:r>
        <w:rPr>
          <w:rFonts w:ascii="Calibri" w:hAnsi="Calibri"/>
          <w:b w:val="0"/>
          <w:i w:val="0"/>
          <w:sz w:val="22"/>
        </w:rPr>
        <w:t>The hole is not even the worst part.</w:t>
      </w:r>
    </w:p>
    <w:p>
      <w:pPr>
        <w:spacing w:after="160" w:before="0"/>
      </w:pPr>
      <w:r>
        <w:rPr>
          <w:rFonts w:ascii="Calibri" w:hAnsi="Calibri"/>
          <w:b w:val="0"/>
          <w:i w:val="0"/>
          <w:sz w:val="22"/>
        </w:rPr>
        <w:t>The crew created a triangular hole in the process — roughly three feet by three feet. While they were actively pouring fresh concrete a few inches away, with all the material and equipment right there, they put a cone on it and left it open. Then they stopped moving entirely and left the compound.</w:t>
      </w:r>
    </w:p>
    <w:p>
      <w:pPr>
        <w:spacing w:after="160" w:before="0"/>
      </w:pPr>
      <w:r>
        <w:rPr>
          <w:rFonts w:ascii="Calibri" w:hAnsi="Calibri"/>
          <w:b w:val="0"/>
          <w:i w:val="0"/>
          <w:sz w:val="22"/>
        </w:rPr>
        <w:t>My housing unit has a population that includes inmates on crutches, in wheelchairs, using walkers. They navigate this route every day — to the chow hall, to medical, to programming. There is no other route.</w:t>
      </w:r>
    </w:p>
    <w:p>
      <w:pPr>
        <w:spacing w:after="160" w:before="0"/>
      </w:pPr>
      <w:r>
        <w:rPr>
          <w:rFonts w:ascii="Calibri" w:hAnsi="Calibri"/>
          <w:b w:val="0"/>
          <w:i w:val="0"/>
          <w:sz w:val="22"/>
        </w:rPr>
        <w:t>Here is what makes it worse: there is no accessible ramp to enter or exit this building at all. Not a broken one. Not one that needs repair. One that does not exist. The BOP claims it abides by the Americans with Disabilities Act and the Rehabilitation Act. The crew was right there. The concrete was wet. Nobody built the ramp.</w:t>
      </w:r>
    </w:p>
    <w:p>
      <w:pPr>
        <w:spacing w:after="160" w:before="0"/>
      </w:pPr>
      <w:r>
        <w:rPr>
          <w:rFonts w:ascii="Calibri" w:hAnsi="Calibri"/>
          <w:b w:val="0"/>
          <w:i w:val="0"/>
          <w:sz w:val="22"/>
        </w:rPr>
        <w:t>The reason no one officially complains about this is not indifference. The inmates who need that ramp are afraid that if they file a grievance, the BOP's answer will be to move them — a transfer to a more accessible housing unit, which could mean leaving Fort Dix entirely, losing whatever support system they've built here, potentially disrupting a halfway house placement. The system has trained people to stay quiet by making the solution worse than the problem.</w:t>
      </w:r>
    </w:p>
    <w:p>
      <w:pPr>
        <w:spacing w:before="120" w:after="120"/>
        <w:pBdr>
          <w:bottom w:val="single" w:sz="4" w:space="1" w:color="CCCCCC"/>
        </w:pBdr>
      </w:pPr>
    </w:p>
    <w:p>
      <w:pPr>
        <w:spacing w:after="160" w:before="0"/>
      </w:pPr>
      <w:r>
        <w:rPr>
          <w:rFonts w:ascii="Calibri" w:hAnsi="Calibri"/>
          <w:b w:val="0"/>
          <w:i w:val="0"/>
          <w:sz w:val="22"/>
        </w:rPr>
        <w:t>The sidewalk is one item on a long list.</w:t>
      </w:r>
    </w:p>
    <w:p>
      <w:pPr>
        <w:spacing w:after="160" w:before="0"/>
      </w:pPr>
      <w:r>
        <w:rPr>
          <w:rFonts w:ascii="Calibri" w:hAnsi="Calibri"/>
          <w:b w:val="0"/>
          <w:i w:val="0"/>
          <w:sz w:val="22"/>
        </w:rPr>
        <w:t>In my housing unit, the drop ceiling on one end sags badly enough that tall inmates duck their heads walking through. This is not new. It has been this way long enough that it's just part of the building now.</w:t>
      </w:r>
    </w:p>
    <w:p>
      <w:pPr>
        <w:spacing w:after="160" w:before="0"/>
      </w:pPr>
      <w:r>
        <w:rPr>
          <w:rFonts w:ascii="Calibri" w:hAnsi="Calibri"/>
          <w:b w:val="0"/>
          <w:i w:val="0"/>
          <w:sz w:val="22"/>
        </w:rPr>
        <w:t>The outer support wall in the main stairwell is buckling. I mean this literally. Place your hands flat on it and you can feel it flex outward. An inmate pushing with body weight alone can make that wall move. What happens when it stops flexing and starts failing, I don't know. Nobody appears to be in a hurry to find out.</w:t>
      </w:r>
    </w:p>
    <w:p>
      <w:pPr>
        <w:spacing w:after="160" w:before="0"/>
      </w:pPr>
      <w:r>
        <w:rPr>
          <w:rFonts w:ascii="Calibri" w:hAnsi="Calibri"/>
          <w:b w:val="0"/>
          <w:i w:val="0"/>
          <w:sz w:val="22"/>
        </w:rPr>
        <w:t>The windows in the housing units don't seal. This matters because the air handling system at Fort Dix is designed around pressure and exhaust — it moves hot air out by creating a vacuum, and that only works if the windows are sealed. They are not sealed. The system does not work.</w:t>
      </w:r>
    </w:p>
    <w:p>
      <w:pPr>
        <w:spacing w:after="160" w:before="0"/>
      </w:pPr>
      <w:r>
        <w:rPr>
          <w:rFonts w:ascii="Calibri" w:hAnsi="Calibri"/>
          <w:b w:val="0"/>
          <w:i w:val="0"/>
          <w:sz w:val="22"/>
        </w:rPr>
        <w:t>New Jersey has a serious mosquito problem. The BOP does not put screens on the housing unit windows. Inmates fabricate their own using materials they've taken from elsewhere on the compound. The black market for window screens at Fort Dix is real. More than half the windows here are running DIY screens right now.</w:t>
      </w:r>
    </w:p>
    <w:p>
      <w:pPr>
        <w:spacing w:before="120" w:after="120"/>
        <w:pBdr>
          <w:bottom w:val="single" w:sz="4" w:space="1" w:color="CCCCCC"/>
        </w:pBdr>
      </w:pPr>
    </w:p>
    <w:p>
      <w:pPr>
        <w:spacing w:after="160" w:before="0"/>
      </w:pPr>
      <w:r>
        <w:rPr>
          <w:rFonts w:ascii="Calibri" w:hAnsi="Calibri"/>
          <w:b w:val="0"/>
          <w:i w:val="0"/>
          <w:sz w:val="22"/>
        </w:rPr>
        <w:t>Then there is the condemned building.</w:t>
      </w:r>
    </w:p>
    <w:p>
      <w:pPr>
        <w:spacing w:after="160" w:before="0"/>
      </w:pPr>
      <w:r>
        <w:rPr>
          <w:rFonts w:ascii="Calibri" w:hAnsi="Calibri"/>
          <w:b w:val="0"/>
          <w:i w:val="0"/>
          <w:sz w:val="22"/>
        </w:rPr>
        <w:t>It has a large red sign — no entry without proper authorization. That sign has been there for years. Right next to the building, close enough that you could reach out and touch the wall from where they sit, are bleachers. Active, in-use bleachers where inmates sit every day.</w:t>
      </w:r>
    </w:p>
    <w:p>
      <w:pPr>
        <w:spacing w:after="160" w:before="0"/>
      </w:pPr>
      <w:r>
        <w:rPr>
          <w:rFonts w:ascii="Calibri" w:hAnsi="Calibri"/>
          <w:b w:val="0"/>
          <w:i w:val="0"/>
          <w:sz w:val="22"/>
        </w:rPr>
        <w:t xml:space="preserve">Several years ago, I reported this to an associate warden. Her response: </w:t>
      </w:r>
      <w:r>
        <w:rPr>
          <w:rFonts w:ascii="Calibri" w:hAnsi="Calibri"/>
          <w:b w:val="0"/>
          <w:i/>
          <w:sz w:val="22"/>
        </w:rPr>
        <w:t>they should never have put them there.</w:t>
      </w:r>
    </w:p>
    <w:p>
      <w:pPr>
        <w:spacing w:after="160" w:before="0"/>
      </w:pPr>
      <w:r>
        <w:rPr>
          <w:rFonts w:ascii="Calibri" w:hAnsi="Calibri"/>
          <w:b w:val="0"/>
          <w:i w:val="0"/>
          <w:sz w:val="22"/>
        </w:rPr>
        <w:t>The bleachers are still there. She was eventually promoted.</w:t>
      </w:r>
    </w:p>
    <w:p>
      <w:pPr>
        <w:spacing w:after="160" w:before="0"/>
      </w:pPr>
      <w:r>
        <w:rPr>
          <w:rFonts w:ascii="Calibri" w:hAnsi="Calibri"/>
          <w:b w:val="0"/>
          <w:i w:val="0"/>
          <w:sz w:val="22"/>
        </w:rPr>
        <w:t>I want to sit with that for a moment. A senior BOP official at this facility acknowledged out loud that placing bleachers next to a condemned structure was wrong. She said it directly. And then nothing happened. The bleachers didn't move. The sign didn't change. The building didn't get repaired or torn down.</w:t>
      </w:r>
    </w:p>
    <w:p>
      <w:pPr>
        <w:spacing w:after="160" w:before="0"/>
      </w:pPr>
      <w:r>
        <w:rPr>
          <w:rFonts w:ascii="Calibri" w:hAnsi="Calibri"/>
          <w:b w:val="0"/>
          <w:i w:val="0"/>
          <w:sz w:val="22"/>
        </w:rPr>
        <w:t>Part of why it hasn't been torn down has to do with what is underneath the floor tiles throughout much of this compound: asbestos, covered by newer tiles. Functional enough until you start pulling things apart, at which point federal abatement protocols kick in — expensive, slow, and apparently prohibitive enough that the BOP would rather post a red sign and leave a condemned building standing than do the work.</w:t>
      </w:r>
    </w:p>
    <w:p>
      <w:pPr>
        <w:spacing w:before="120" w:after="120"/>
        <w:pBdr>
          <w:bottom w:val="single" w:sz="4" w:space="1" w:color="CCCCCC"/>
        </w:pBdr>
      </w:pPr>
    </w:p>
    <w:p>
      <w:pPr>
        <w:spacing w:after="160" w:before="0"/>
      </w:pPr>
      <w:r>
        <w:rPr>
          <w:rFonts w:ascii="Calibri" w:hAnsi="Calibri"/>
          <w:b w:val="0"/>
          <w:i w:val="0"/>
          <w:sz w:val="22"/>
        </w:rPr>
        <w:t>Fort Dix is not uniquely bad. It is representatively bad.</w:t>
      </w:r>
    </w:p>
    <w:p>
      <w:pPr>
        <w:spacing w:after="160" w:before="0"/>
      </w:pPr>
      <w:r>
        <w:rPr>
          <w:rFonts w:ascii="Calibri" w:hAnsi="Calibri"/>
          <w:b w:val="0"/>
          <w:i w:val="0"/>
          <w:sz w:val="22"/>
        </w:rPr>
        <w:t>I have been through FDC Philadelphia, where flushing a toilet in an upper cell can force the contents of that toilet through the plumbing and up through the toilet in the cell below. Inmates fashioned covers and hoped. I was at FCI Big Spring in Texas not long ago, where the floors in the housing units would buckle and bounce under the weight of a person doing push-ups. Staff said it was normal. Then half the housing units at Big Spring were abruptly closed.</w:t>
      </w:r>
    </w:p>
    <w:p>
      <w:pPr>
        <w:spacing w:after="160" w:before="0"/>
      </w:pPr>
      <w:r>
        <w:rPr>
          <w:rFonts w:ascii="Calibri" w:hAnsi="Calibri"/>
          <w:b w:val="0"/>
          <w:i w:val="0"/>
          <w:sz w:val="22"/>
        </w:rPr>
        <w:t>These are not isolated maintenance failures. This is the same institution, operating the same way, in different ZIP codes.</w:t>
      </w:r>
    </w:p>
    <w:p>
      <w:pPr>
        <w:spacing w:before="120" w:after="120"/>
        <w:pBdr>
          <w:bottom w:val="single" w:sz="4" w:space="1" w:color="CCCCCC"/>
        </w:pBdr>
      </w:pPr>
    </w:p>
    <w:p>
      <w:pPr>
        <w:spacing w:before="200" w:after="80"/>
      </w:pPr>
      <w:r>
        <w:rPr>
          <w:rFonts w:ascii="Calibri" w:hAnsi="Calibri"/>
          <w:b/>
          <w:sz w:val="26"/>
        </w:rPr>
        <w:t>What you can actually do about this</w:t>
      </w:r>
    </w:p>
    <w:p>
      <w:pPr>
        <w:spacing w:after="160" w:before="0"/>
      </w:pPr>
      <w:r>
        <w:rPr>
          <w:rFonts w:ascii="Calibri" w:hAnsi="Calibri"/>
          <w:b w:val="0"/>
          <w:i w:val="0"/>
          <w:sz w:val="22"/>
        </w:rPr>
        <w:t>If your family member is dealing with a documented safety hazard — a dangerous structure, a missing accessibility feature, a hole with a cone on it — the administrative remedy process is the tool.</w:t>
      </w:r>
    </w:p>
    <w:p>
      <w:pPr>
        <w:spacing w:after="160" w:before="0"/>
      </w:pPr>
      <w:r>
        <w:rPr>
          <w:rFonts w:ascii="Calibri" w:hAnsi="Calibri"/>
          <w:b w:val="0"/>
          <w:i w:val="0"/>
          <w:sz w:val="22"/>
        </w:rPr>
        <w:t>A BP-8 filed with the unit team is the first step. Be specific: describe the exact location, how long the hazard has existed, who has been informed, and what the risk is. If your family member has a mobility-related medical condition, state that explicitly. You are not just filing a complaint — you are building a paper trail that matters if someone gets hurt, and it matters in court.</w:t>
      </w:r>
    </w:p>
    <w:p>
      <w:pPr>
        <w:spacing w:before="120" w:after="120"/>
      </w:pPr>
      <w:r>
        <w:rPr>
          <w:rFonts w:ascii="Calibri" w:hAnsi="Calibri"/>
          <w:b/>
          <w:color w:val="B40000"/>
          <w:sz w:val="22"/>
        </w:rPr>
        <w:t>WARNING: THE BP-8 MUST BE FILED WITHIN 20 DAYS OF THE INCIDENT OR CONDITION BECOMING KNOWN. THAT DEADLINE IS REAL. MISSING IT CLOSES DOORS THAT DO NOT REOPEN.</w:t>
      </w:r>
    </w:p>
    <w:p>
      <w:pPr>
        <w:spacing w:after="160" w:before="0"/>
      </w:pPr>
      <w:r>
        <w:rPr>
          <w:rFonts w:ascii="Calibri" w:hAnsi="Calibri"/>
          <w:b w:val="0"/>
          <w:i w:val="0"/>
          <w:sz w:val="22"/>
        </w:rPr>
        <w:t>If the informal resolution produces no action, the BP-9 to the warden is next. Then the BP-10 to the regional office. Then the BP-11 to the central office. Every written denial is a brick in a legal foundation.</w:t>
      </w:r>
    </w:p>
    <w:p>
      <w:pPr>
        <w:spacing w:after="160" w:before="0"/>
      </w:pPr>
      <w:r>
        <w:rPr>
          <w:rFonts w:ascii="Calibri" w:hAnsi="Calibri"/>
          <w:b w:val="0"/>
          <w:i w:val="0"/>
          <w:sz w:val="22"/>
        </w:rPr>
        <w:t>For inmates with mobility restrictions, there is a separate and powerful tool: the BOP has an entire Program Statement governing how inmates seek disability-related accommodations. That process has real teeth, and I have used it successfully for people inside. It deserves its own article — and it will get one. But it starts in the same place everything starts: a written record.</w:t>
      </w:r>
    </w:p>
    <w:p>
      <w:pPr>
        <w:spacing w:after="160" w:before="0"/>
      </w:pPr>
      <w:r>
        <w:rPr>
          <w:rFonts w:ascii="Calibri" w:hAnsi="Calibri"/>
          <w:b w:val="0"/>
          <w:i w:val="0"/>
          <w:sz w:val="22"/>
        </w:rPr>
        <w:t>That is the point I want you to understand above everything else in this section. The administrative remedy process is the only power an inmate has to document what is happening to them. Without it, you have no case. Not in the warden's office, not at the regional level, not in federal court. Judges do not want to hear that conditions were bad if you cannot show that you told the institution and they did nothing. The BP-8 through BP-11 chain is not a formality — it is the foundation. Every denial, every non-response, every brush-off in writing is evidence. Build the record. The record is the only protection you have.</w:t>
      </w:r>
    </w:p>
    <w:p>
      <w:pPr>
        <w:spacing w:before="120" w:after="120"/>
        <w:pBdr>
          <w:bottom w:val="single" w:sz="4" w:space="1" w:color="CCCCCC"/>
        </w:pBdr>
      </w:pPr>
    </w:p>
    <w:p>
      <w:pPr>
        <w:spacing w:after="160" w:before="0"/>
      </w:pPr>
      <w:r>
        <w:rPr>
          <w:rFonts w:ascii="Calibri" w:hAnsi="Calibri"/>
          <w:b w:val="0"/>
          <w:i w:val="0"/>
          <w:sz w:val="22"/>
        </w:rPr>
        <w:t>The orange cone is still there.</w:t>
      </w:r>
    </w:p>
    <w:p>
      <w:pPr>
        <w:spacing w:after="160" w:before="0"/>
      </w:pPr>
      <w:r>
        <w:rPr>
          <w:rFonts w:ascii="Calibri" w:hAnsi="Calibri"/>
          <w:b w:val="0"/>
          <w:i w:val="0"/>
          <w:sz w:val="22"/>
        </w:rPr>
        <w:t>I can see it from here.</w:t>
      </w:r>
    </w:p>
    <w:p>
      <w:pPr>
        <w:spacing w:before="120" w:after="120"/>
        <w:pBdr>
          <w:bottom w:val="single" w:sz="4" w:space="1" w:color="CCCCCC"/>
        </w:pBdr>
      </w:pPr>
    </w:p>
    <w:p>
      <w:pPr>
        <w:spacing w:after="160" w:before="0"/>
      </w:pPr>
      <w:r>
        <w:rPr>
          <w:rFonts w:ascii="Calibri" w:hAnsi="Calibri"/>
          <w:b w:val="0"/>
          <w:i/>
          <w:sz w:val="22"/>
        </w:rPr>
        <w:t>What infrastructure conditions have you or your family seen at a federal facility? Drop it in the comments — I read them.</w:t>
      </w:r>
    </w:p>
    <w:p>
      <w:pPr>
        <w:spacing w:before="120" w:after="120"/>
        <w:pBdr>
          <w:bottom w:val="single" w:sz="4" w:space="1" w:color="CCCCCC"/>
        </w:pBdr>
      </w:pPr>
    </w:p>
    <w:p>
      <w:pPr>
        <w:spacing w:after="160" w:before="0"/>
      </w:pPr>
      <w:r>
        <w:rPr>
          <w:rFonts w:ascii="Calibri" w:hAnsi="Calibri"/>
          <w:b w:val="0"/>
          <w:i w:val="0"/>
          <w:sz w:val="22"/>
        </w:rPr>
        <w:t>Be Well, Stay Safe, and Survive the Feds,</w:t>
      </w:r>
    </w:p>
    <w:p>
      <w:pPr>
        <w:spacing w:after="160" w:before="0"/>
      </w:pPr>
      <w:r>
        <w:rPr>
          <w:rFonts w:ascii="Calibri" w:hAnsi="Calibri"/>
          <w:b w:val="0"/>
          <w:i w:val="0"/>
          <w:sz w:val="22"/>
        </w:rPr>
        <w:t>~Bilal</w:t>
      </w:r>
    </w:p>
    <w:p>
      <w:pPr>
        <w:spacing w:before="120" w:after="120"/>
        <w:pBdr>
          <w:bottom w:val="single" w:sz="4" w:space="1" w:color="CCCCCC"/>
        </w:pBdr>
      </w:pPr>
    </w:p>
    <w:p>
      <w:pPr>
        <w:spacing w:after="160" w:before="0"/>
      </w:pPr>
      <w:r>
        <w:rPr>
          <w:rFonts w:ascii="Calibri" w:hAnsi="Calibri"/>
          <w:b w:val="0"/>
          <w:i/>
          <w:sz w:val="22"/>
        </w:rPr>
        <w:t>Bilal Khan has been incarcerated in the federal system since May 2012. He is a United States Marine Corps veteran and the author of</w:t>
      </w:r>
      <w:r>
        <w:rPr>
          <w:rFonts w:ascii="Calibri" w:hAnsi="Calibri"/>
          <w:b w:val="0"/>
          <w:i w:val="0"/>
          <w:sz w:val="22"/>
        </w:rPr>
        <w:t xml:space="preserve"> Surviving Pretrial </w:t>
      </w:r>
      <w:r>
        <w:rPr>
          <w:rFonts w:ascii="Calibri" w:hAnsi="Calibri"/>
          <w:b w:val="0"/>
          <w:i/>
          <w:sz w:val="22"/>
        </w:rPr>
        <w:t>and</w:t>
      </w:r>
      <w:r>
        <w:rPr>
          <w:rFonts w:ascii="Calibri" w:hAnsi="Calibri"/>
          <w:b w:val="0"/>
          <w:i w:val="0"/>
          <w:sz w:val="22"/>
        </w:rPr>
        <w:t xml:space="preserve"> The 2255 Motion Handbook</w:t>
      </w:r>
      <w:r>
        <w:rPr>
          <w:rFonts w:ascii="Calibri" w:hAnsi="Calibri"/>
          <w:b w:val="0"/>
          <w:i/>
          <w:sz w:val="22"/>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