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pict>
          <v:rect id="shape_1" style="position:absolute;margin-left:0.000pt;margin-top:0.000pt;width:841.890pt;height:7.000pt;z-index:1;mso-position-horizontal-relative:page;mso-position-vertical-relative:page" filled="t" stroked="f" fillcolor="#146552" strokecolor="#000000" strokeweight="1pt"/>
        </w:pict>
      </w:r>
      <w:r>
        <w:pict>
          <v:rect id="shape_2" style="position:absolute;margin-left:32.000pt;margin-top:19.000pt;width:770.000pt;height:20.150pt;z-index:2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PRISE EN MAIN</w:t>
                  </w:r>
                </w:p>
              </w:txbxContent>
            </v:textbox>
          </v:rect>
        </w:pict>
      </w:r>
      <w:r>
        <w:pict>
          <v:rect id="shape_3" style="position:absolute;margin-left:32.000pt;margin-top:38.000pt;width:778.000pt;height:40.400pt;z-index:3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pStyle w:val="Title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Peinture</w:t>
                  </w:r>
                </w:p>
              </w:txbxContent>
            </v:textbox>
          </v:rect>
        </w:pict>
      </w:r>
      <w:r>
        <w:pict>
          <v:rect id="shape_4" style="position:absolute;margin-left:32.000pt;margin-top:75.000pt;width:778.000pt;height:22.175pt;z-index:4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Identifier la peinture d’une zone et lire les matériaux du support.</w:t>
                  </w:r>
                </w:p>
              </w:txbxContent>
            </v:textbox>
          </v:rect>
        </w:pict>
      </w:r>
      <w:r>
        <w:pict>
          <v:rect id="shape_5" style="position:absolute;margin-left:40.000pt;margin-top:120.000pt;width:760.000pt;height:30.950pt;z-index:5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7312E"/>
                      <w:b/>
                    </w:rPr>
                    <w:t xml:space="preserve">Une zone cliquée, ses matériaux identifiés</w:t>
                  </w:r>
                </w:p>
              </w:txbxContent>
            </v:textbox>
          </v:rect>
        </w:pict>
      </w:r>
      <w:r>
        <w:pict>
          <v:rect id="shape_6" style="position:absolute;margin-left:40.000pt;margin-top:152.000pt;width:745.000pt;height:40.400pt;z-index:6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L’outil consulte la peinture appliquée sur une face. Pour un mur, il affiche aussi la composition de son type, de l’extérieur vers l’intérieur. La maquette reste inchangée.</w:t>
                  </w:r>
                </w:p>
              </w:txbxContent>
            </v:textbox>
          </v:rect>
        </w:pict>
      </w:r>
      <w:r>
        <w:pict>
          <v:oval id="shape_7" style="position:absolute;margin-left:40.000pt;margin-top:220.000pt;width:20.000pt;height:20.000pt;z-index:7;mso-position-horizontal-relative:page;mso-position-vertical-relative:page" filled="t" stroked="f" fillcolor="#D45B27" strokecolor="#000000" strokeweight="1pt"/>
        </w:pict>
      </w:r>
      <w:r>
        <w:pict>
          <v:rect id="shape_8" style="position:absolute;margin-left:35.000pt;margin-top:223.700pt;width:30.000pt;height:15.000pt;z-index: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9" style="position:absolute;margin-left:77.000pt;margin-top:216.000pt;width:720.000pt;height:28.250pt;z-index:9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Ouvrir Peinture</w:t>
                  </w:r>
                </w:p>
              </w:txbxContent>
            </v:textbox>
          </v:rect>
        </w:pict>
      </w:r>
      <w:r>
        <w:pict>
          <v:rect id="shape_10" style="position:absolute;margin-left:77.000pt;margin-top:247.000pt;width:700.000pt;height:40.400pt;z-index:10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Ouvrez une vue où la surface est visible, puis BIMaestro &gt; Outils de Visualisation &gt; Peinture. Si le groupe affiche Face 3D, ouvrez sa flèche et choisissez Peinture.</w:t>
                  </w:r>
                </w:p>
              </w:txbxContent>
            </v:textbox>
          </v:rect>
        </w:pict>
      </w:r>
      <w:r>
        <w:pict>
          <v:oval id="shape_11" style="position:absolute;margin-left:40.000pt;margin-top:319.000pt;width:20.000pt;height:20.000pt;z-index:11;mso-position-horizontal-relative:page;mso-position-vertical-relative:page" filled="t" stroked="f" fillcolor="#D45B27" strokecolor="#000000" strokeweight="1pt"/>
        </w:pict>
      </w:r>
      <w:r>
        <w:pict>
          <v:rect id="shape_12" style="position:absolute;margin-left:35.000pt;margin-top:322.700pt;width:30.000pt;height:15.000pt;z-index:12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13" style="position:absolute;margin-left:77.000pt;margin-top:315.000pt;width:720.000pt;height:28.250pt;z-index:13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Cliquer sur la zone à identifier</w:t>
                  </w:r>
                </w:p>
              </w:txbxContent>
            </v:textbox>
          </v:rect>
        </w:pict>
      </w:r>
      <w:r>
        <w:pict>
          <v:rect id="shape_14" style="position:absolute;margin-left:77.000pt;margin-top:346.000pt;width:700.000pt;height:40.400pt;z-index:14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À l’invite « Cliquez sur la zone de peinture à identifier », cliquez à l’intérieur de la face souhaitée. Sur une face scindée, visez la région à examiner, loin de ses limites.</w:t>
                  </w:r>
                </w:p>
              </w:txbxContent>
            </v:textbox>
          </v:rect>
        </w:pict>
      </w:r>
      <w:r>
        <w:pict>
          <v:oval id="shape_15" style="position:absolute;margin-left:40.000pt;margin-top:418.000pt;width:20.000pt;height:20.000pt;z-index:15;mso-position-horizontal-relative:page;mso-position-vertical-relative:page" filled="t" stroked="f" fillcolor="#D45B27" strokecolor="#000000" strokeweight="1pt"/>
        </w:pict>
      </w:r>
      <w:r>
        <w:pict>
          <v:rect id="shape_16" style="position:absolute;margin-left:35.000pt;margin-top:421.700pt;width:30.000pt;height:15.000pt;z-index:16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17" style="position:absolute;margin-left:77.000pt;margin-top:414.000pt;width:720.000pt;height:28.250pt;z-index:17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Lire le résultat</w:t>
                  </w:r>
                </w:p>
              </w:txbxContent>
            </v:textbox>
          </v:rect>
        </w:pict>
      </w:r>
      <w:r>
        <w:pict>
          <v:rect id="shape_18" style="position:absolute;margin-left:77.000pt;margin-top:445.000pt;width:700.000pt;height:24.200pt;z-index:1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Consultez la fenêtre « Peinture de la zone » (voir page 2). Fermez-la, puis relancez Peinture pour examiner une autre zone.</w:t>
                  </w:r>
                </w:p>
              </w:txbxContent>
            </v:textbox>
          </v:rect>
        </w:pict>
      </w:r>
      <w:r>
        <w:pict>
          <v:roundrect id="shape_19" style="position:absolute;margin-left:32.000pt;margin-top:524.000pt;width:777.890pt;height:29.000pt;z-index:19;mso-position-horizontal-relative:page;mso-position-vertical-relative:page" filled="t" stroked="f" fillcolor="#EDF5F2" strokecolor="#000000" strokeweight="1pt" arcsize="8%"/>
        </w:pict>
      </w:r>
      <w:r>
        <w:pict>
          <v:rect id="shape_20" style="position:absolute;margin-left:42.000pt;margin-top:529.000pt;width:757.890pt;height:20.825pt;z-index:20;mso-position-horizontal-relative:page;mso-position-vertical-relative:page" filled="f" stroked="f" fillcolor="#EDF5F2" strokecolor="#000000" strokeweight="1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Pendant la sélection, la touche Échap annule la commande.</w:t>
                  </w:r>
                </w:p>
              </w:txbxContent>
            </v:textbox>
          </v:rect>
        </w:pict>
      </w:r>
      <w:r>
        <w:pict>
          <v:shape id="shape_21" style="position:absolute;margin-left:32.000pt;margin-top:567.280pt;width:777.890pt;height:0.010pt;z-index:21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22" style="position:absolute;margin-left:32.000pt;margin-top:573.280pt;width:710.000pt;height:18.800pt;z-index:2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3" style="position:absolute;margin-left:771.890pt;margin-top:574.460pt;width:38.000pt;height:13.500pt;z-index:2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01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4" style="position:absolute;margin-left:0.000pt;margin-top:0.000pt;width:841.890pt;height:7.000pt;z-index:24;mso-position-horizontal-relative:page;mso-position-vertical-relative:page" filled="t" stroked="f" fillcolor="#146552" strokecolor="#D8E4DF" strokeweight="0.5pt"/>
        </w:pict>
      </w:r>
      <w:r>
        <w:pict>
          <v:rect id="shape_25" style="position:absolute;margin-left:32.000pt;margin-top:19.000pt;width:770.000pt;height:20.150pt;z-index:2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LECTURE ET DÉPANNAGE</w:t>
                  </w:r>
                </w:p>
              </w:txbxContent>
            </v:textbox>
          </v:rect>
        </w:pict>
      </w:r>
      <w:r>
        <w:pict>
          <v:rect id="shape_26" style="position:absolute;margin-left:32.000pt;margin-top:38.000pt;width:778.000pt;height:40.400pt;z-index:2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Comprendre le résultat</w:t>
                  </w:r>
                </w:p>
              </w:txbxContent>
            </v:textbox>
          </v:rect>
        </w:pict>
      </w:r>
      <w:r>
        <w:pict>
          <v:rect id="shape_27" style="position:absolute;margin-left:32.000pt;margin-top:75.000pt;width:778.000pt;height:22.175pt;z-index:2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Distinguer la peinture de surface, le matériau support et la composition d’un mur.</w:t>
                  </w:r>
                </w:p>
              </w:txbxContent>
            </v:textbox>
          </v:rect>
        </w:pict>
      </w:r>
      <w:r>
        <w:pict>
          <v:rect id="shape_28" style="position:absolute;margin-left:40.000pt;margin-top:120.000pt;width:355.000pt;height:29.600pt;z-index:2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La peinture de la zone</w:t>
                  </w:r>
                </w:p>
              </w:txbxContent>
            </v:textbox>
          </v:rect>
        </w:pict>
      </w:r>
      <w:r>
        <w:pict>
          <v:rect id="shape_29" style="position:absolute;margin-left:40.000pt;margin-top:157.000pt;width:355.000pt;height:24.200pt;z-index:2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Peinture appliquée</w:t>
                  </w:r>
                </w:p>
              </w:txbxContent>
            </v:textbox>
          </v:rect>
        </w:pict>
      </w:r>
      <w:r>
        <w:pict>
          <v:rect id="shape_30" style="position:absolute;margin-left:40.000pt;margin-top:182.000pt;width:352.000pt;height:40.400pt;z-index:3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Indique le nom du matériau utilisé comme peinture sur la zone cliquée.</w:t>
                  </w:r>
                </w:p>
              </w:txbxContent>
            </v:textbox>
          </v:rect>
        </w:pict>
      </w:r>
      <w:r>
        <w:pict>
          <v:rect id="shape_31" style="position:absolute;margin-left:40.000pt;margin-top:234.000pt;width:355.000pt;height:24.200pt;z-index:3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Aucune peinture appliquée</w:t>
                  </w:r>
                </w:p>
              </w:txbxContent>
            </v:textbox>
          </v:rect>
        </w:pict>
      </w:r>
      <w:r>
        <w:pict>
          <v:rect id="shape_32" style="position:absolute;margin-left:40.000pt;margin-top:259.000pt;width:352.000pt;height:40.400pt;z-index:3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La zone ne possède pas de peinture ajoutée. Son support peut néanmoins avoir un matériau.</w:t>
                  </w:r>
                </w:p>
              </w:txbxContent>
            </v:textbox>
          </v:rect>
        </w:pict>
      </w:r>
      <w:r>
        <w:pict>
          <v:rect id="shape_33" style="position:absolute;margin-left:445.000pt;margin-top:120.000pt;width:355.000pt;height:29.600pt;z-index:3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Le support et les couches</w:t>
                  </w:r>
                </w:p>
              </w:txbxContent>
            </v:textbox>
          </v:rect>
        </w:pict>
      </w:r>
      <w:r>
        <w:pict>
          <v:rect id="shape_34" style="position:absolute;margin-left:445.000pt;margin-top:157.000pt;width:355.000pt;height:24.200pt;z-index:3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Pour un mur</w:t>
                  </w:r>
                </w:p>
              </w:txbxContent>
            </v:textbox>
          </v:rect>
        </w:pict>
      </w:r>
      <w:r>
        <w:pict>
          <v:rect id="shape_35" style="position:absolute;margin-left:445.000pt;margin-top:182.000pt;width:350.000pt;height:72.800pt;z-index:3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Les couches du type sont listées de l’extérieur vers l’intérieur : fonction, matériau et épaisseur en millimètres lorsqu’elle est positive. « Par catégorie » apparaît si aucun matériau de couche n’est résolu.</w:t>
                  </w:r>
                </w:p>
              </w:txbxContent>
            </v:textbox>
          </v:rect>
        </w:pict>
      </w:r>
      <w:r>
        <w:pict>
          <v:rect id="shape_36" style="position:absolute;margin-left:445.000pt;margin-top:290.000pt;width:355.000pt;height:24.200pt;z-index:3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46552"/>
                      <w:b/>
                    </w:rPr>
                    <w:t xml:space="preserve">Pour un autre élément</w:t>
                  </w:r>
                </w:p>
              </w:txbxContent>
            </v:textbox>
          </v:rect>
        </w:pict>
      </w:r>
      <w:r>
        <w:pict>
          <v:rect id="shape_37" style="position:absolute;margin-left:445.000pt;margin-top:315.000pt;width:350.000pt;height:24.200pt;z-index:3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Le matériau support s’affiche s’il peut être identifié.</w:t>
                  </w:r>
                </w:p>
              </w:txbxContent>
            </v:textbox>
          </v:rect>
        </w:pict>
      </w:r>
      <w:r>
        <w:pict>
          <v:roundrect id="shape_38" style="position:absolute;margin-left:40.000pt;margin-top:362.000pt;width:762.000pt;height:73.000pt;z-index:38;mso-position-horizontal-relative:page;mso-position-vertical-relative:page" filled="t" stroked="f" fillcolor="#EDF5F2" strokecolor="#D8E4DF" strokeweight="0.5pt" arcsize="8%"/>
        </w:pict>
      </w:r>
      <w:r>
        <w:pict>
          <v:rect id="shape_39" style="position:absolute;margin-left:54.000pt;margin-top:372.000pt;width:734.000pt;height:24.200pt;z-index:3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  <w:b/>
                    </w:rPr>
                    <w:t xml:space="preserve">Exemple : un mur en béton peint en blanc</w:t>
                  </w:r>
                </w:p>
              </w:txbxContent>
            </v:textbox>
          </v:rect>
        </w:pict>
      </w:r>
      <w:r>
        <w:pict>
          <v:rect id="shape_40" style="position:absolute;margin-left:54.000pt;margin-top:397.000pt;width:734.000pt;height:37.700pt;z-index:4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Le résultat peut indiquer « Peinture appliquée : Blanc mat », puis les couches du mur. La peinture et la composition sont deux informations distinctes. Noms donnés à titre d’exemple.</w:t>
                  </w:r>
                </w:p>
              </w:txbxContent>
            </v:textbox>
          </v:rect>
        </w:pict>
      </w:r>
      <w:r>
        <w:pict>
          <v:rect id="shape_41" style="position:absolute;margin-left:40.000pt;margin-top:453.000pt;width:760.000pt;height:26.900pt;z-index:4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Si le résultat ne correspond pas à la zone attendue</w:t>
                  </w:r>
                </w:p>
              </w:txbxContent>
            </v:textbox>
          </v:rect>
        </w:pict>
      </w:r>
      <w:r>
        <w:pict>
          <v:rect id="shape_42" style="position:absolute;margin-left:40.000pt;margin-top:482.000pt;width:760.000pt;height:39.050pt;z-index:4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Relancez l’outil et cliquez sur une surface bien visible, idéalement en 3D et loin des limites d’une face scindée. « Aucune couche composée disponible » signifie qu’aucune composition de couches exploitable n’a été trouvée pour ce mur.</w:t>
                  </w:r>
                </w:p>
              </w:txbxContent>
            </v:textbox>
          </v:rect>
        </w:pict>
      </w:r>
      <w:r>
        <w:pict>
          <v:shape id="shape_43" style="position:absolute;margin-left:32.000pt;margin-top:567.280pt;width:777.890pt;height:0.010pt;z-index:43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44" style="position:absolute;margin-left:32.000pt;margin-top:573.280pt;width:710.000pt;height:18.800pt;z-index:4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5" style="position:absolute;margin-left:771.890pt;margin-top:574.460pt;width:38.000pt;height:13.500pt;z-index:4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02</w:t>
                  </w:r>
                </w:p>
              </w:txbxContent>
            </v:textbox>
          </v:rect>
        </w:pic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BIMaestro - Peinture - Fiche pratique</dc:title>
  <dc:subject/>
  <dc:creator>BIMaestro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