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center"/>
      </w:pPr>
      <w:r>
        <w:rPr>
          <w:rFonts w:ascii="Times New Roman" w:hAnsi="Times New Roman" w:eastAsia="方正小标宋_GBK" w:cs="Times New Roman"/>
          <w:b w:val="0"/>
          <w:sz w:val="44"/>
        </w:rPr>
        <w:t>××××市×××××平台</w:t>
      </w:r>
    </w:p>
    <w:p>
      <w:pPr>
        <w:spacing w:line="578" w:lineRule="exact" w:before="0" w:after="0"/>
        <w:jc w:val="center"/>
      </w:pPr>
      <w:r>
        <w:rPr>
          <w:rFonts w:ascii="Times New Roman" w:hAnsi="Times New Roman" w:eastAsia="方正楷体_GBK" w:cs="Times New Roman"/>
          <w:b w:val="0"/>
          <w:sz w:val="32"/>
        </w:rPr>
        <w:t>××××××规范</w:t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××××××××××中心</w:t>
      </w:r>
    </w:p>
    <w:p>
      <w:pPr>
        <w:spacing w:line="578" w:lineRule="exact" w:before="0" w:after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二〇××年××月</w:t>
      </w:r>
    </w:p>
    <w:p>
      <w:r>
        <w:br w:type="page"/>
      </w:r>
    </w:p>
    <w:p>
      <w:pPr>
        <w:spacing w:line="578" w:lineRule="exact" w:before="0" w:after="578"/>
        <w:jc w:val="center"/>
      </w:pPr>
      <w:r>
        <w:rPr>
          <w:rFonts w:ascii="Times New Roman" w:hAnsi="Times New Roman" w:eastAsia="方正小标宋_GBK" w:cs="Times New Roman"/>
          <w:b w:val="0"/>
          <w:sz w:val="44"/>
        </w:rPr>
        <w:t>××××市×××××平台××××××规范</w:t>
      </w:r>
    </w:p>
    <w:p>
      <w:pPr>
        <w:spacing w:line="578" w:lineRule="exact" w:before="578" w:after="0"/>
        <w:jc w:val="left"/>
      </w:pPr>
      <w:r>
        <w:rPr>
          <w:rFonts w:ascii="Times New Roman" w:hAnsi="Times New Roman" w:eastAsia="方正黑体_GBK" w:cs="Times New Roman"/>
          <w:b w:val="0"/>
          <w:sz w:val="32"/>
        </w:rPr>
        <w:t>第一章　总则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为规范××××市×××××平台××××××工作，保障平台安全稳定运行，结合实际情况，特制定本规范。</w:t>
      </w:r>
    </w:p>
    <w:p>
      <w:pPr>
        <w:spacing w:line="578" w:lineRule="exact"/>
        <w:ind w:firstLine="640"/>
        <w:jc w:val="left"/>
      </w:pPr>
      <w:r>
        <w:rPr>
          <w:rFonts w:ascii="Times New Roman" w:hAnsi="Times New Roman" w:eastAsia="方正楷体_GBK" w:cs="Times New Roman"/>
          <w:sz w:val="32"/>
        </w:rPr>
        <w:t xml:space="preserve">第一条　</w:t>
      </w:r>
      <w:r>
        <w:rPr>
          <w:rFonts w:ascii="Times New Roman" w:hAnsi="Times New Roman" w:eastAsia="方正仿宋_GBK" w:cs="Times New Roman"/>
          <w:sz w:val="32"/>
        </w:rPr>
        <w:t>相关单位应当按照国家法律、法规、规章和相关规定要求开展工作；未明确规定的，应当结合实际情况妥善处理。</w:t>
      </w:r>
    </w:p>
    <w:p>
      <w:pPr>
        <w:spacing w:line="578" w:lineRule="exact"/>
        <w:ind w:firstLine="640"/>
        <w:jc w:val="left"/>
      </w:pPr>
      <w:r>
        <w:rPr>
          <w:rFonts w:ascii="Times New Roman" w:hAnsi="Times New Roman" w:eastAsia="方正楷体_GBK" w:cs="Times New Roman"/>
          <w:sz w:val="32"/>
        </w:rPr>
        <w:t xml:space="preserve">第二条　</w:t>
      </w:r>
      <w:r>
        <w:rPr>
          <w:rFonts w:ascii="Times New Roman" w:hAnsi="Times New Roman" w:eastAsia="方正仿宋_GBK" w:cs="Times New Roman"/>
          <w:sz w:val="32"/>
        </w:rPr>
        <w:t>涉及个人敏感信息的，应当采取脱敏、去标识化或删除等安全处理措施，防止信息泄露。</w:t>
      </w:r>
    </w:p>
    <w:p>
      <w:pPr>
        <w:spacing w:line="578" w:lineRule="exact"/>
        <w:ind w:firstLine="640"/>
        <w:jc w:val="left"/>
      </w:pPr>
      <w:r>
        <w:rPr>
          <w:rFonts w:ascii="Times New Roman" w:hAnsi="Times New Roman" w:eastAsia="方正楷体_GBK" w:cs="Times New Roman"/>
          <w:sz w:val="32"/>
        </w:rPr>
        <w:t xml:space="preserve">第三条　</w:t>
      </w:r>
      <w:r>
        <w:rPr>
          <w:rFonts w:ascii="Times New Roman" w:hAnsi="Times New Roman" w:eastAsia="方正仿宋_GBK" w:cs="Times New Roman"/>
          <w:sz w:val="32"/>
        </w:rPr>
        <w:t>相关单位应当建立动态调整机制，根据实际情况逐步推进各项工作。</w:t>
      </w:r>
    </w:p>
    <w:p>
      <w:pPr>
        <w:spacing w:line="578" w:lineRule="exact" w:before="578" w:after="0"/>
        <w:jc w:val="left"/>
      </w:pPr>
      <w:r>
        <w:rPr>
          <w:rFonts w:ascii="Times New Roman" w:hAnsi="Times New Roman" w:eastAsia="方正黑体_GBK" w:cs="Times New Roman"/>
          <w:b w:val="0"/>
          <w:sz w:val="32"/>
        </w:rPr>
        <w:t>第二章　组织保障</w:t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楷体_GBK" w:cs="Times New Roman"/>
          <w:b w:val="0"/>
          <w:sz w:val="32"/>
        </w:rPr>
        <w:t>2.1　组织架构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本章节为组织保障示例：介绍单位内部的组织架构、职责分工与人员安排，确保各项工作的组织协调与实际可操作性。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（一）领导小组：负责整体工作的统筹规划、决策部署与组织协调。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1.组长负责整体统筹与决策；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（1）负责组织召开工作会议；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（2）负责审核各项工作方案。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2.副组长协助组长开展工作；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（1）负责组织日常工作推进；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（2）负责人员与资源调配。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（二）执行小组：负责具体工作的执行、推进与总结反馈。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1.组长负责各项工作的全程推进与总结；</w:t>
      </w:r>
    </w:p>
    <w:p>
      <w:pPr>
        <w:spacing w:line="578" w:lineRule="exact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2.组员负责具体执行与记录。</w:t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楷体_GBK" w:cs="Times New Roman"/>
          <w:b w:val="0"/>
          <w:sz w:val="32"/>
        </w:rPr>
        <w:t>2.2　组织架构图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l_sample_p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578" w:lineRule="exact" w:before="120" w:after="0"/>
        <w:jc w:val="center"/>
      </w:pPr>
      <w:r>
        <w:rPr>
          <w:rFonts w:ascii="Times New Roman" w:hAnsi="Times New Roman" w:eastAsia="方正黑体_GBK" w:cs="Times New Roman"/>
          <w:b w:val="0"/>
          <w:sz w:val="32"/>
        </w:rPr>
        <w:t>图 2-1　组织架构图（示例）</w:t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楷体_GBK" w:cs="Times New Roman"/>
          <w:b w:val="0"/>
          <w:sz w:val="32"/>
        </w:rPr>
        <w:t>2.3　人员名单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黑体_GBK" w:cs="Times New Roman"/>
                <w:b/>
                <w:sz w:val="24"/>
              </w:rPr>
              <w:t>岗位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黑体_GBK" w:cs="Times New Roman"/>
                <w:b/>
                <w:sz w:val="24"/>
              </w:rPr>
              <w:t>姓名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黑体_GBK" w:cs="Times New Roman"/>
                <w:b/>
                <w:sz w:val="24"/>
              </w:rPr>
              <w:t>联系电话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负责人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×××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1××××××××××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成员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×××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1××××××××××</w:t>
            </w:r>
          </w:p>
        </w:tc>
      </w:tr>
    </w:tbl>
    <w:p>
      <w:pPr>
        <w:spacing w:line="578" w:lineRule="exact" w:before="120" w:after="0"/>
        <w:jc w:val="center"/>
      </w:pPr>
      <w:r>
        <w:rPr>
          <w:rFonts w:ascii="Times New Roman" w:hAnsi="Times New Roman" w:eastAsia="方正黑体_GBK" w:cs="Times New Roman"/>
          <w:b w:val="0"/>
          <w:sz w:val="32"/>
        </w:rPr>
        <w:t>表 2-1　人员名单（示例）</w:t>
      </w:r>
    </w:p>
    <w:p>
      <w:pPr>
        <w:spacing w:line="578" w:lineRule="exact" w:before="0" w:after="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</w:r>
    </w:p>
    <w:p>
      <w:pPr>
        <w:spacing w:line="578" w:lineRule="exact" w:before="0" w:after="0"/>
        <w:ind w:left="370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>巡检日期：　　　　年　　月　　日</w:t>
      </w:r>
    </w:p>
    <w:p>
      <w:pPr>
        <w:spacing w:line="578" w:lineRule="exact" w:before="0" w:after="0"/>
        <w:ind w:left="3700"/>
        <w:jc w:val="left"/>
      </w:pPr>
      <w:r>
        <w:rPr>
          <w:rFonts w:ascii="Times New Roman" w:hAnsi="Times New Roman" w:eastAsia="方正仿宋_GBK" w:cs="Times New Roman"/>
          <w:b w:val="0"/>
          <w:sz w:val="32"/>
        </w:rPr>
        <w:t xml:space="preserve">巡检人：　　　　　　　　　　</w:t>
      </w:r>
    </w:p>
    <w:p>
      <w:pPr>
        <w:pageBreakBefore/>
        <w:spacing w:line="578" w:lineRule="exact" w:before="578" w:after="0"/>
        <w:jc w:val="left"/>
      </w:pPr>
      <w:r>
        <w:rPr>
          <w:rFonts w:ascii="Times New Roman" w:hAnsi="Times New Roman" w:eastAsia="方正黑体_GBK" w:cs="Times New Roman"/>
          <w:b w:val="0"/>
          <w:sz w:val="32"/>
        </w:rPr>
        <w:t>附件</w:t>
      </w:r>
    </w:p>
    <w:p>
      <w:pPr>
        <w:spacing w:line="578" w:lineRule="exact" w:before="578" w:after="0"/>
        <w:jc w:val="left"/>
      </w:pPr>
      <w:r>
        <w:rPr>
          <w:rFonts w:ascii="Times New Roman" w:hAnsi="Times New Roman" w:eastAsia="方正黑体_GBK" w:cs="Times New Roman"/>
          <w:b w:val="0"/>
          <w:sz w:val="32"/>
        </w:rPr>
        <w:t>附件一</w:t>
      </w:r>
    </w:p>
    <w:p>
      <w:pPr>
        <w:spacing w:line="578" w:lineRule="exact" w:before="0" w:after="289"/>
        <w:jc w:val="center"/>
      </w:pPr>
      <w:r>
        <w:rPr>
          <w:rFonts w:ascii="Times New Roman" w:hAnsi="Times New Roman" w:eastAsia="方正黑体_GBK" w:cs="Times New Roman"/>
          <w:b w:val="0"/>
          <w:sz w:val="32"/>
        </w:rPr>
        <w:t>×××××××表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方正黑体_GBK" w:cs="Times New Roman"/>
                <w:b/>
                <w:sz w:val="24"/>
              </w:rPr>
              <w:t>检查项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方正黑体_GBK" w:cs="Times New Roman"/>
                <w:b/>
                <w:sz w:val="24"/>
              </w:rPr>
              <w:t>检查结果</w:t>
            </w:r>
          </w:p>
        </w:tc>
      </w:tr>
      <w:tr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示例项1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示例值1</w:t>
            </w:r>
          </w:p>
        </w:tc>
      </w:tr>
      <w:tr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示例项2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方正仿宋_GBK" w:cs="Times New Roman"/>
                <w:sz w:val="24"/>
              </w:rPr>
              <w:t>示例值2</w:t>
            </w:r>
          </w:p>
        </w:tc>
      </w:tr>
    </w:tbl>
    <w:p>
      <w:pPr>
        <w:spacing w:line="578" w:lineRule="exact" w:before="0" w:after="0"/>
        <w:jc w:val="left"/>
        <w:ind w:left="1280" w:leftChars="400" w:firstLine="-640" w:firstLineChars="-200"/>
      </w:pPr>
      <w:r>
        <w:rPr>
          <w:rFonts w:ascii="Times New Roman" w:hAnsi="Times New Roman" w:eastAsia="方正仿宋_GBK" w:cs="Times New Roman"/>
          <w:b w:val="0"/>
          <w:sz w:val="32"/>
        </w:rPr>
        <w:t>注：1.××××××××××××××××××；</w:t>
      </w:r>
      <w:br/>
      <w:r>
        <w:rPr>
          <w:rFonts w:ascii="Times New Roman" w:hAnsi="Times New Roman" w:eastAsia="方正仿宋_GBK" w:cs="Times New Roman"/>
          <w:b w:val="0"/>
          <w:sz w:val="32"/>
        </w:rPr>
        <w:t>2.××××××××××××××××××。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531" w:bottom="1984" w:left="1531" w:header="720" w:footer="1440" w:gutter="0"/>
      <w:cols w:space="720"/>
      <w:docGrid w:linePitch="360"/>
      <w:evenAndOddHea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Times New Roman" w:cs="Times New Roman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Times New Roman" w:cs="Times New Roman"/>
        <w:sz w:val="2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Times New Roman" w:cs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