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货物买卖合同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一、合同主体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卖方：__________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买方：__________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二、标的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货物名称、规格、数量：__________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三、价款与支付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价款金额：__________；支付方式：__________；支付时间：__________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四、交付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交付地点：__________；交付方式：__________；风险转移：__________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五、质量与验收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质量标准：__________；验收期：__________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六、违约责任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如一方违反本合同，应承担继续履行、补救或赔偿损失等违约责任。</w:t>
      </w:r>
    </w:p>
    <w:p>
      <w:pPr>
        <w:spacing w:lineRule="exact" w:line="560" w:before="0" w:after="0"/>
        <w:ind w:firstLine="560"/>
        <w:jc w:val="left"/>
      </w:pPr>
      <w:r>
        <w:rPr>
          <w:rFonts w:ascii="Times New Roman" w:hAnsi="Times New Roman" w:eastAsia="仿宋_GB2312"/>
          <w:b w:val="0"/>
          <w:color w:val="000000"/>
          <w:sz w:val="28"/>
        </w:rPr>
        <w:t>《民法典》第六百一十条 出卖人交付的标的物不符合质量要求的，买受人可以依法解除合同或者请求承担违约责任。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七、争议解决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双方因本合同发生争议的，应友好协商解决；协商不成，提交 ____________ 仲裁委员会仲裁。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卖方（盖章）：__________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买方（盖章）：__________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签订日期：__________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