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STATEMENT OF CLAIM (DIVORCE) — SINGAPORE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In the Family Justice Courts of the Republic of Singapore — Divorce Suit No. of [year]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Between [Plaintiff], NRIC [no], and [Defendant], NRIC [no].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Particulars of Marriage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1.1 The parties were married on [date] at [place].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Ground for Divorce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2.1 The marriage has irretrievably broken down by reason of [ground] under section 95(3) of the Women's Charter 1961.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Reliefs Claimed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3.1 An order of judgment of divorce; custody, care and control of the child(ren); maintenance; and division of matrimonial assets.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Statement of Particulars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4.1 [Particulars].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