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Times New Roman" w:hAnsi="Times New Roman"/>
          <w:b/>
          <w:color w:val="000000"/>
          <w:sz w:val="28"/>
        </w:rPr>
        <w:t>SHARE SUBSCRIPTION AGREEMENT (SINGAPORE)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This Share Subscription Agreement is made between the Company, the Founders, and the Subscriber.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1. Subscription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1.1 The Subscriber agrees to subscribe for [n] new ordinary shares at an issue price of S$[price] per share.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2. Conditions Precedent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2.1 Completion is subject to ACRA filing of return of allotment within 14 days.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3. Representations and Warranties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3.1 The Company warrants its capacity, valid issuance under Companies Act 1967, and absence of encumbrances.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4. Governing Law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4.1 This Agreement is governed by Singapore law.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