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SHAREHOLDERS' AGREEMENT (SINGAPORE)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This Shareholders' Agreement is made among the parties listed in Schedule 1 in respect of [Company], a private company limited by shares incorporated in Singapore.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Board Composition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Board shall consist of [n] directors, of which the Investor is entitled to appoint [n].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Reserved Matters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The matters set out in Schedule 2 shall require Investor consent.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Transfer Restrictions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Pre-emption, ROFR, tag-along, and drag-along provisions apply per Schedule 3.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Governing Law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This Agreement is governed by Singapore law and disputes shall be settled by SIAC arbitration.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